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53D7E">
      <w:pPr>
        <w:pStyle w:val="2"/>
        <w:adjustRightInd w:val="0"/>
        <w:spacing w:before="156" w:beforeLines="50" w:after="156" w:afterLines="50" w:line="360" w:lineRule="auto"/>
        <w:textAlignment w:val="baseline"/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</w:pPr>
      <w:bookmarkStart w:id="0" w:name="_Toc204518062"/>
      <w:bookmarkStart w:id="1" w:name="_Toc4093"/>
      <w:bookmarkStart w:id="2" w:name="_Toc99558378"/>
      <w:bookmarkStart w:id="3" w:name="_Toc204518184"/>
      <w:bookmarkStart w:id="4" w:name="_Toc96698767"/>
      <w:r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>B</w:t>
      </w:r>
      <w:r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 xml:space="preserve">  重要信息及数据核查记录（</w:t>
      </w:r>
      <w:r>
        <w:rPr>
          <w:rFonts w:hint="eastAsia"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>冶金</w:t>
      </w:r>
      <w:r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>工程）</w:t>
      </w:r>
      <w:bookmarkEnd w:id="0"/>
      <w:bookmarkEnd w:id="1"/>
      <w:bookmarkEnd w:id="2"/>
      <w:bookmarkEnd w:id="3"/>
    </w:p>
    <w:bookmarkEnd w:id="4"/>
    <w:p w14:paraId="476E4713">
      <w:pPr>
        <w:pStyle w:val="11"/>
        <w:spacing w:line="500" w:lineRule="exact"/>
        <w:ind w:firstLine="480" w:firstLineChars="200"/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.1  复查组应对反映、证实申报工程实体质量水平及其安全性、可靠性的相关信息、数据资料进行核查，并作为复查报告的附件之一并提交</w:t>
      </w: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国家优质工程奖评选工作办公室</w:t>
      </w:r>
      <w:r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，以备进一步核查</w:t>
      </w: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05CF3135">
      <w:pPr>
        <w:pStyle w:val="11"/>
        <w:spacing w:line="500" w:lineRule="exact"/>
        <w:ind w:firstLine="480" w:firstLineChars="200"/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.2  重要信息及数据核查记录由</w:t>
      </w: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复</w:t>
      </w:r>
      <w:r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查专家签字</w:t>
      </w: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45F20907">
      <w:pPr>
        <w:pStyle w:val="11"/>
        <w:spacing w:line="500" w:lineRule="exact"/>
        <w:ind w:firstLine="480" w:firstLineChars="200"/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.3  具体填写要求见表</w:t>
      </w: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备注栏</w:t>
      </w: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62A55F5D">
      <w:pPr>
        <w:pStyle w:val="11"/>
        <w:spacing w:line="500" w:lineRule="exact"/>
        <w:ind w:firstLine="480" w:firstLineChars="200"/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.4  无信息或数据的</w:t>
      </w: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项目</w:t>
      </w:r>
      <w:r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，应在备注栏注明</w:t>
      </w: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原因。</w:t>
      </w:r>
    </w:p>
    <w:p w14:paraId="358B874A">
      <w:pPr>
        <w:pStyle w:val="11"/>
        <w:spacing w:line="500" w:lineRule="exact"/>
        <w:ind w:firstLine="480" w:firstLineChars="200"/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.5  表</w:t>
      </w: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中所列信息及数据为</w:t>
      </w: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一般冶金工程</w:t>
      </w:r>
      <w:r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常见信息及数据，如申报工程还有其他主要信息或数据时，复查组应对表</w:t>
      </w: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进行补充。</w:t>
      </w:r>
    </w:p>
    <w:p w14:paraId="113ACBDE">
      <w:pPr>
        <w:pStyle w:val="11"/>
        <w:spacing w:line="500" w:lineRule="exact"/>
        <w:ind w:firstLine="480" w:firstLineChars="200"/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.6  </w:t>
      </w:r>
      <w:r>
        <w:rPr>
          <w:rFonts w:hint="eastAsia"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表B中“有关数据及结论”一栏中的“结论：”系指相应检测、试验的结论。</w:t>
      </w:r>
    </w:p>
    <w:p w14:paraId="51AE8A87">
      <w:pPr>
        <w:pStyle w:val="11"/>
        <w:spacing w:line="500" w:lineRule="exact"/>
        <w:ind w:firstLine="480" w:firstLineChars="200"/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5AD52E0">
      <w:pPr>
        <w:widowControl/>
        <w:jc w:val="lef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 w14:paraId="6269DB03">
      <w:pPr>
        <w:pStyle w:val="11"/>
        <w:spacing w:line="500" w:lineRule="exact"/>
        <w:jc w:val="center"/>
        <w:rPr>
          <w:rFonts w:ascii="Times New Roman" w:hAns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sz w:val="24"/>
          <w:szCs w:val="24"/>
        </w:rPr>
        <w:t>表B-1  土建工程有关数据（冶金工程）</w:t>
      </w:r>
    </w:p>
    <w:tbl>
      <w:tblPr>
        <w:tblStyle w:val="2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261"/>
        <w:gridCol w:w="4810"/>
        <w:gridCol w:w="2168"/>
      </w:tblGrid>
      <w:tr w14:paraId="6796E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6" w:type="pct"/>
            <w:gridSpan w:val="2"/>
          </w:tcPr>
          <w:p w14:paraId="45A55985">
            <w:pPr>
              <w:spacing w:before="156" w:beforeLines="50" w:after="156" w:afterLines="5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工程名称</w:t>
            </w:r>
          </w:p>
        </w:tc>
        <w:tc>
          <w:tcPr>
            <w:tcW w:w="3924" w:type="pct"/>
            <w:gridSpan w:val="2"/>
          </w:tcPr>
          <w:p w14:paraId="7B0DAD34">
            <w:pPr>
              <w:spacing w:before="156" w:beforeLines="50" w:after="156" w:afterLines="50"/>
              <w:rPr>
                <w:szCs w:val="21"/>
              </w:rPr>
            </w:pPr>
          </w:p>
        </w:tc>
      </w:tr>
      <w:tr w14:paraId="06AEB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67" w:type="pct"/>
            <w:vAlign w:val="center"/>
          </w:tcPr>
          <w:p w14:paraId="6417704A">
            <w:pPr>
              <w:jc w:val="center"/>
              <w:rPr>
                <w:b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09" w:type="pct"/>
            <w:vAlign w:val="center"/>
          </w:tcPr>
          <w:p w14:paraId="714FA78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705" w:type="pct"/>
            <w:vAlign w:val="center"/>
          </w:tcPr>
          <w:p w14:paraId="6E4BDFF4">
            <w:pPr>
              <w:jc w:val="center"/>
              <w:rPr>
                <w:b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219" w:type="pct"/>
            <w:vAlign w:val="center"/>
          </w:tcPr>
          <w:p w14:paraId="07989208">
            <w:pPr>
              <w:jc w:val="center"/>
              <w:rPr>
                <w:b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C8F4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0AB033B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09" w:type="pct"/>
            <w:vAlign w:val="center"/>
          </w:tcPr>
          <w:p w14:paraId="1F3D9995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szCs w:val="21"/>
              </w:rPr>
              <w:t>桩基</w:t>
            </w:r>
          </w:p>
        </w:tc>
        <w:tc>
          <w:tcPr>
            <w:tcW w:w="2705" w:type="pct"/>
          </w:tcPr>
          <w:p w14:paraId="6971B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桩基总数：        根</w:t>
            </w:r>
          </w:p>
          <w:p w14:paraId="658C5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桩基类型：        </w:t>
            </w:r>
          </w:p>
          <w:p w14:paraId="163C5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桩径：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mm</w:t>
            </w:r>
          </w:p>
          <w:p w14:paraId="12080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单桩承载力试验方法：</w:t>
            </w:r>
          </w:p>
          <w:p w14:paraId="5B74B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单桩承载力试验数量：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根，占总桩数的比例：   %</w:t>
            </w:r>
          </w:p>
          <w:p w14:paraId="7BE4B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单桩承载力试验结果：          </w:t>
            </w:r>
          </w:p>
          <w:p w14:paraId="46493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桩身完整性检测方法：</w:t>
            </w:r>
          </w:p>
          <w:p w14:paraId="30E97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桩身完整性检测数量：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根，检测比例：    %</w:t>
            </w:r>
          </w:p>
          <w:p w14:paraId="7EF75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检测结果：</w:t>
            </w:r>
            <w:r>
              <w:rPr>
                <w:rFonts w:hint="default" w:ascii="Times New Roman" w:hAnsi="Times New Roman" w:cs="Times New Roman"/>
                <w:szCs w:val="21"/>
              </w:rPr>
              <w:t>Ⅰ</w:t>
            </w:r>
            <w:r>
              <w:rPr>
                <w:szCs w:val="21"/>
              </w:rPr>
              <w:t>类桩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根，占检测桩的      %</w:t>
            </w:r>
          </w:p>
          <w:p w14:paraId="5E144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Ⅱ</w:t>
            </w:r>
            <w:r>
              <w:rPr>
                <w:szCs w:val="21"/>
              </w:rPr>
              <w:t>类桩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根，占检测桩的     %</w:t>
            </w:r>
          </w:p>
          <w:p w14:paraId="32275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III类及以下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根</w:t>
            </w:r>
          </w:p>
          <w:p w14:paraId="32667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19" w:type="pct"/>
            <w:vAlign w:val="center"/>
          </w:tcPr>
          <w:p w14:paraId="1B03C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</w:t>
            </w:r>
          </w:p>
          <w:p w14:paraId="26C38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1. 当桩基类型、桩径有多种时应逐一列数量。</w:t>
            </w:r>
          </w:p>
          <w:p w14:paraId="49EA4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2. 当采用不同方法确认单桩承载力时，应逐一说明试验方法。</w:t>
            </w:r>
          </w:p>
          <w:p w14:paraId="49BEC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3. 不同的桩基类型、桩径、采用不同方法检测桩身完整性时，应分别列出各种方法的检测数量及检测结果。</w:t>
            </w:r>
          </w:p>
        </w:tc>
      </w:tr>
      <w:tr w14:paraId="4BAF1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4D9B7931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09" w:type="pct"/>
            <w:vAlign w:val="center"/>
          </w:tcPr>
          <w:p w14:paraId="2D9B8BF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沉降变形</w:t>
            </w:r>
          </w:p>
          <w:p w14:paraId="64AB011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观测</w:t>
            </w:r>
          </w:p>
        </w:tc>
        <w:tc>
          <w:tcPr>
            <w:tcW w:w="2705" w:type="pct"/>
            <w:vAlign w:val="center"/>
          </w:tcPr>
          <w:p w14:paraId="3F1A7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观测点数量：        个</w:t>
            </w:r>
          </w:p>
          <w:p w14:paraId="09FDC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观测次数：    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 xml:space="preserve">  次</w:t>
            </w:r>
          </w:p>
          <w:p w14:paraId="6CCD0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最大沉降量：           mm</w:t>
            </w:r>
          </w:p>
          <w:p w14:paraId="5C1A8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最小沉降量：           mm</w:t>
            </w:r>
          </w:p>
          <w:p w14:paraId="1F6D5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最后一次观测周期： 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szCs w:val="21"/>
              </w:rPr>
              <w:t xml:space="preserve">  天</w:t>
            </w:r>
          </w:p>
          <w:p w14:paraId="28168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最后一次观测周期内的沉降速率：        mm/d</w:t>
            </w:r>
          </w:p>
          <w:p w14:paraId="5AD11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19" w:type="pct"/>
            <w:vAlign w:val="center"/>
          </w:tcPr>
          <w:p w14:paraId="29B7F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【要求】应说明主厂房、主工艺设备基础、主电气室的每个观测点的相应数据。</w:t>
            </w:r>
          </w:p>
        </w:tc>
      </w:tr>
      <w:tr w14:paraId="0324C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024A1075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09" w:type="pct"/>
            <w:vAlign w:val="center"/>
          </w:tcPr>
          <w:p w14:paraId="5722DF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灌注桩施工记录</w:t>
            </w:r>
          </w:p>
        </w:tc>
        <w:tc>
          <w:tcPr>
            <w:tcW w:w="2705" w:type="pct"/>
            <w:vAlign w:val="center"/>
          </w:tcPr>
          <w:p w14:paraId="75C03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桩底沉渣厚度：   mm，设计要求：   mm</w:t>
            </w:r>
          </w:p>
          <w:p w14:paraId="31246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桩位最大偏差：   mm，规范规定：   mm</w:t>
            </w:r>
          </w:p>
          <w:p w14:paraId="47D08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垂直度最大偏差：   mm，规范规定：   mm</w:t>
            </w:r>
          </w:p>
        </w:tc>
        <w:tc>
          <w:tcPr>
            <w:tcW w:w="1219" w:type="pct"/>
          </w:tcPr>
          <w:p w14:paraId="2566E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40" w:lineRule="exact"/>
              <w:textAlignment w:val="auto"/>
              <w:rPr>
                <w:szCs w:val="21"/>
              </w:rPr>
            </w:pPr>
          </w:p>
        </w:tc>
      </w:tr>
      <w:tr w14:paraId="13476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563416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09" w:type="pct"/>
            <w:vAlign w:val="center"/>
          </w:tcPr>
          <w:p w14:paraId="74C27BE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预制桩施工记录</w:t>
            </w:r>
          </w:p>
        </w:tc>
        <w:tc>
          <w:tcPr>
            <w:tcW w:w="2705" w:type="pct"/>
            <w:vAlign w:val="center"/>
          </w:tcPr>
          <w:p w14:paraId="72F3DA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桩位最大偏差：   mm，规范规定：   mm</w:t>
            </w:r>
          </w:p>
          <w:p w14:paraId="4B959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垂直度最大偏差：   mm，规范规定：   mm</w:t>
            </w:r>
          </w:p>
        </w:tc>
        <w:tc>
          <w:tcPr>
            <w:tcW w:w="1219" w:type="pct"/>
          </w:tcPr>
          <w:p w14:paraId="062A3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</w:p>
        </w:tc>
      </w:tr>
      <w:tr w14:paraId="1C10F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1D905CFB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09" w:type="pct"/>
            <w:vAlign w:val="center"/>
          </w:tcPr>
          <w:p w14:paraId="1CA4DB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灌注桩钢筋复试</w:t>
            </w:r>
          </w:p>
        </w:tc>
        <w:tc>
          <w:tcPr>
            <w:tcW w:w="2705" w:type="pct"/>
            <w:vAlign w:val="center"/>
          </w:tcPr>
          <w:p w14:paraId="386AE8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进场数量：     吨</w:t>
            </w:r>
          </w:p>
          <w:p w14:paraId="78842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进场批次：     批</w:t>
            </w:r>
          </w:p>
          <w:p w14:paraId="6B32A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复试组数：     组</w:t>
            </w:r>
          </w:p>
          <w:p w14:paraId="23F3F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19" w:type="pct"/>
          </w:tcPr>
          <w:p w14:paraId="0BF9D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40" w:lineRule="exact"/>
              <w:textAlignment w:val="auto"/>
              <w:rPr>
                <w:szCs w:val="21"/>
              </w:rPr>
            </w:pPr>
          </w:p>
        </w:tc>
      </w:tr>
      <w:tr w14:paraId="33E97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122B118C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09" w:type="pct"/>
            <w:vAlign w:val="center"/>
          </w:tcPr>
          <w:p w14:paraId="6E9D204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灌注桩混凝土试块</w:t>
            </w:r>
          </w:p>
        </w:tc>
        <w:tc>
          <w:tcPr>
            <w:tcW w:w="2705" w:type="pct"/>
            <w:vAlign w:val="center"/>
          </w:tcPr>
          <w:p w14:paraId="3269C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灌注桩数量：  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根</w:t>
            </w:r>
          </w:p>
          <w:p w14:paraId="539380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混凝土强度等级：C</w:t>
            </w:r>
          </w:p>
          <w:p w14:paraId="4C6CE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混凝土总量：      m</w:t>
            </w:r>
            <w:r>
              <w:rPr>
                <w:szCs w:val="21"/>
                <w:vertAlign w:val="superscript"/>
              </w:rPr>
              <w:t>3</w:t>
            </w:r>
          </w:p>
          <w:p w14:paraId="02F27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混凝土标养试块组数：  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组</w:t>
            </w:r>
          </w:p>
          <w:p w14:paraId="3A625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混凝土强度评定结论：</w:t>
            </w:r>
          </w:p>
        </w:tc>
        <w:tc>
          <w:tcPr>
            <w:tcW w:w="1219" w:type="pct"/>
          </w:tcPr>
          <w:p w14:paraId="22BF6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40" w:lineRule="exact"/>
              <w:textAlignment w:val="auto"/>
              <w:rPr>
                <w:szCs w:val="21"/>
              </w:rPr>
            </w:pPr>
          </w:p>
        </w:tc>
      </w:tr>
      <w:tr w14:paraId="11762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737C7AF3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709" w:type="pct"/>
            <w:vAlign w:val="center"/>
          </w:tcPr>
          <w:p w14:paraId="0FC2767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地下室防水材料复试</w:t>
            </w:r>
          </w:p>
        </w:tc>
        <w:tc>
          <w:tcPr>
            <w:tcW w:w="2705" w:type="pct"/>
            <w:vAlign w:val="center"/>
          </w:tcPr>
          <w:p w14:paraId="1854B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材料名称：</w:t>
            </w:r>
          </w:p>
          <w:p w14:paraId="7D7E5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进场数量：  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卷（t）</w:t>
            </w:r>
          </w:p>
          <w:p w14:paraId="21C3F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进场批次：  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批</w:t>
            </w:r>
          </w:p>
          <w:p w14:paraId="2A44E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复试组数：  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组</w:t>
            </w:r>
          </w:p>
          <w:p w14:paraId="4CF89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19" w:type="pct"/>
            <w:vAlign w:val="center"/>
          </w:tcPr>
          <w:p w14:paraId="34598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【要求】当采用多种防水材料时，应分别列出。</w:t>
            </w:r>
          </w:p>
        </w:tc>
      </w:tr>
      <w:tr w14:paraId="665E8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6B44ABDB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709" w:type="pct"/>
            <w:vAlign w:val="center"/>
          </w:tcPr>
          <w:p w14:paraId="292E9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抗渗混凝土试块</w:t>
            </w:r>
          </w:p>
        </w:tc>
        <w:tc>
          <w:tcPr>
            <w:tcW w:w="2705" w:type="pct"/>
            <w:vAlign w:val="center"/>
          </w:tcPr>
          <w:p w14:paraId="6D899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抗渗等级：P</w:t>
            </w:r>
          </w:p>
          <w:p w14:paraId="0F43B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总量：          m</w:t>
            </w:r>
            <w:r>
              <w:rPr>
                <w:szCs w:val="21"/>
                <w:vertAlign w:val="superscript"/>
              </w:rPr>
              <w:t>3</w:t>
            </w:r>
          </w:p>
          <w:p w14:paraId="4E6AF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取样组数：  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组</w:t>
            </w:r>
          </w:p>
          <w:p w14:paraId="0295E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19" w:type="pct"/>
            <w:vAlign w:val="center"/>
          </w:tcPr>
          <w:p w14:paraId="1462B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【要求】当采用多种抗渗等级的混凝土时，应分别列出。</w:t>
            </w:r>
          </w:p>
        </w:tc>
      </w:tr>
      <w:tr w14:paraId="0A66D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38218FC3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709" w:type="pct"/>
            <w:vAlign w:val="center"/>
          </w:tcPr>
          <w:p w14:paraId="2BB36CE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基础及主体结构钢筋</w:t>
            </w:r>
          </w:p>
        </w:tc>
        <w:tc>
          <w:tcPr>
            <w:tcW w:w="2705" w:type="pct"/>
            <w:vAlign w:val="center"/>
          </w:tcPr>
          <w:p w14:paraId="450CE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进场总量：     t</w:t>
            </w:r>
          </w:p>
          <w:p w14:paraId="15D20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进场批次：     批</w:t>
            </w:r>
          </w:p>
          <w:p w14:paraId="2C740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复试组数：     组</w:t>
            </w:r>
          </w:p>
          <w:p w14:paraId="0D464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19" w:type="pct"/>
            <w:vAlign w:val="center"/>
          </w:tcPr>
          <w:p w14:paraId="506D0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</w:p>
        </w:tc>
      </w:tr>
      <w:tr w14:paraId="6DFD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33C598C8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709" w:type="pct"/>
            <w:vAlign w:val="center"/>
          </w:tcPr>
          <w:p w14:paraId="63FBF01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基础及主体结构混凝土</w:t>
            </w:r>
          </w:p>
          <w:p w14:paraId="485FD21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标养试块</w:t>
            </w:r>
          </w:p>
        </w:tc>
        <w:tc>
          <w:tcPr>
            <w:tcW w:w="2705" w:type="pct"/>
            <w:vAlign w:val="center"/>
          </w:tcPr>
          <w:p w14:paraId="1DCBD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混凝土总量：     m</w:t>
            </w:r>
            <w:r>
              <w:rPr>
                <w:szCs w:val="21"/>
                <w:vertAlign w:val="superscript"/>
              </w:rPr>
              <w:t>3</w:t>
            </w:r>
          </w:p>
          <w:p w14:paraId="1C968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混凝土强度等级：</w:t>
            </w:r>
          </w:p>
          <w:p w14:paraId="20493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C25     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，试块组数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szCs w:val="21"/>
              </w:rPr>
              <w:t>组，评定结果：</w:t>
            </w:r>
          </w:p>
          <w:p w14:paraId="0578B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C30     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，试块组数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szCs w:val="21"/>
              </w:rPr>
              <w:t>组，评定结果：</w:t>
            </w:r>
          </w:p>
          <w:p w14:paraId="5F94B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1219" w:type="pct"/>
            <w:vAlign w:val="center"/>
          </w:tcPr>
          <w:p w14:paraId="4EB79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【要求】应分别列出不同强度等级混凝土的情况。</w:t>
            </w:r>
          </w:p>
        </w:tc>
      </w:tr>
      <w:tr w14:paraId="0F0B7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20492889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709" w:type="pct"/>
            <w:vAlign w:val="center"/>
          </w:tcPr>
          <w:p w14:paraId="0388FE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基础及主体结构混凝土同条件试块</w:t>
            </w:r>
          </w:p>
        </w:tc>
        <w:tc>
          <w:tcPr>
            <w:tcW w:w="2705" w:type="pct"/>
            <w:vAlign w:val="center"/>
          </w:tcPr>
          <w:p w14:paraId="3F1E4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C25     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，试块组数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szCs w:val="21"/>
              </w:rPr>
              <w:t>组，评定结果：</w:t>
            </w:r>
          </w:p>
          <w:p w14:paraId="04D9D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C30     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，试块组数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szCs w:val="21"/>
              </w:rPr>
              <w:t>组，评定结果：</w:t>
            </w:r>
          </w:p>
          <w:p w14:paraId="6DB70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1219" w:type="pct"/>
            <w:vAlign w:val="center"/>
          </w:tcPr>
          <w:p w14:paraId="45C1F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【要求】应分别列出不同强度等级混凝土的情况。</w:t>
            </w:r>
          </w:p>
        </w:tc>
      </w:tr>
      <w:tr w14:paraId="36633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07FA52A0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709" w:type="pct"/>
            <w:vAlign w:val="center"/>
          </w:tcPr>
          <w:p w14:paraId="2466E05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钢筋接头力学性能试验</w:t>
            </w:r>
          </w:p>
        </w:tc>
        <w:tc>
          <w:tcPr>
            <w:tcW w:w="2705" w:type="pct"/>
            <w:vAlign w:val="center"/>
          </w:tcPr>
          <w:p w14:paraId="733B8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单面搭接焊接头数量：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个，试验组数：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组，结论：</w:t>
            </w:r>
          </w:p>
          <w:p w14:paraId="55448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双面搭接焊接头数量：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个，试验组数：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组，结论：</w:t>
            </w:r>
          </w:p>
          <w:p w14:paraId="1492F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闪光对焊接头数量：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>个，试验组数：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组，结论：</w:t>
            </w:r>
          </w:p>
          <w:p w14:paraId="10258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电渣压力焊接头数量：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个，试验组数：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组，结论：</w:t>
            </w:r>
          </w:p>
          <w:p w14:paraId="73BA1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直螺纹接头数量：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 xml:space="preserve">    </w:t>
            </w:r>
            <w:r>
              <w:rPr>
                <w:szCs w:val="21"/>
              </w:rPr>
              <w:t>个，试验组数：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组，结论：</w:t>
            </w:r>
          </w:p>
          <w:p w14:paraId="2CD8B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冷挤压接头数量：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 xml:space="preserve">    </w:t>
            </w:r>
            <w:r>
              <w:rPr>
                <w:szCs w:val="21"/>
              </w:rPr>
              <w:t>个，试验组数：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组，结论：</w:t>
            </w:r>
          </w:p>
        </w:tc>
        <w:tc>
          <w:tcPr>
            <w:tcW w:w="1219" w:type="pct"/>
            <w:vAlign w:val="center"/>
          </w:tcPr>
          <w:p w14:paraId="7A664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【要求】不涉及的接头形式应删除。</w:t>
            </w:r>
          </w:p>
        </w:tc>
      </w:tr>
      <w:tr w14:paraId="2708C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25A19AF0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709" w:type="pct"/>
            <w:vAlign w:val="center"/>
          </w:tcPr>
          <w:p w14:paraId="1A7FB84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钢结构焊缝检测</w:t>
            </w:r>
          </w:p>
        </w:tc>
        <w:tc>
          <w:tcPr>
            <w:tcW w:w="2705" w:type="pct"/>
            <w:vAlign w:val="center"/>
          </w:tcPr>
          <w:p w14:paraId="77ADC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焊缝数量：          m（条）</w:t>
            </w:r>
          </w:p>
          <w:p w14:paraId="2F184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焊缝等级：</w:t>
            </w:r>
          </w:p>
          <w:p w14:paraId="1E072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检测比例：</w:t>
            </w:r>
          </w:p>
          <w:p w14:paraId="09E0E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检测方法：</w:t>
            </w:r>
          </w:p>
          <w:p w14:paraId="42B05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19" w:type="pct"/>
          </w:tcPr>
          <w:p w14:paraId="332E9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56" w:beforeLines="50" w:after="156" w:afterLines="50"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【要求】应按一级、二级焊缝质量等级分别填写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4FA9E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018206C0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709" w:type="pct"/>
            <w:vAlign w:val="center"/>
          </w:tcPr>
          <w:p w14:paraId="54F00CA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钢结构高强螺栓现场复检</w:t>
            </w:r>
          </w:p>
        </w:tc>
        <w:tc>
          <w:tcPr>
            <w:tcW w:w="2705" w:type="pct"/>
            <w:vAlign w:val="center"/>
          </w:tcPr>
          <w:p w14:paraId="3AD0E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高强度螺栓类型：</w:t>
            </w:r>
          </w:p>
          <w:p w14:paraId="5D72F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高强度螺栓规格：</w:t>
            </w:r>
          </w:p>
          <w:p w14:paraId="6BE91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是否有扭矩系数（大六角头）或</w:t>
            </w:r>
            <w:r>
              <w:rPr>
                <w:kern w:val="0"/>
                <w:szCs w:val="21"/>
              </w:rPr>
              <w:t>预拉力（扭剪型）的</w:t>
            </w:r>
            <w:r>
              <w:rPr>
                <w:szCs w:val="21"/>
              </w:rPr>
              <w:t>出厂检验报告：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否</w:t>
            </w:r>
          </w:p>
          <w:p w14:paraId="245E6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检验数量：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   </w:t>
            </w:r>
            <w:r>
              <w:rPr>
                <w:szCs w:val="21"/>
              </w:rPr>
              <w:t>只</w:t>
            </w:r>
          </w:p>
          <w:p w14:paraId="3E25C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检验结论：</w:t>
            </w:r>
          </w:p>
          <w:p w14:paraId="17696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是否有扭矩系数（大六角头）或</w:t>
            </w:r>
            <w:r>
              <w:rPr>
                <w:kern w:val="0"/>
                <w:szCs w:val="21"/>
              </w:rPr>
              <w:t>预拉力（扭剪型）的</w:t>
            </w:r>
            <w:r>
              <w:rPr>
                <w:szCs w:val="21"/>
              </w:rPr>
              <w:t>现场复验报告：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否</w:t>
            </w:r>
          </w:p>
          <w:p w14:paraId="4EB88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检验数量：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   </w:t>
            </w:r>
            <w:r>
              <w:rPr>
                <w:szCs w:val="21"/>
              </w:rPr>
              <w:t>只</w:t>
            </w:r>
          </w:p>
          <w:p w14:paraId="38213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复验结论：</w:t>
            </w:r>
          </w:p>
        </w:tc>
        <w:tc>
          <w:tcPr>
            <w:tcW w:w="1219" w:type="pct"/>
            <w:vAlign w:val="center"/>
          </w:tcPr>
          <w:p w14:paraId="20996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bookmarkStart w:id="5" w:name="OLE_LINK126"/>
            <w:bookmarkStart w:id="6" w:name="OLE_LINK125"/>
            <w:r>
              <w:rPr>
                <w:szCs w:val="21"/>
              </w:rPr>
              <w:t>【要求】</w:t>
            </w:r>
            <w:bookmarkEnd w:id="5"/>
            <w:bookmarkEnd w:id="6"/>
            <w:r>
              <w:rPr>
                <w:szCs w:val="21"/>
              </w:rPr>
              <w:t>应将厂房主体结构、工艺钢结构不同部位，按高强螺栓不同规格填写。</w:t>
            </w:r>
          </w:p>
        </w:tc>
      </w:tr>
      <w:tr w14:paraId="7E273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4BE04ADF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709" w:type="pct"/>
            <w:vAlign w:val="center"/>
          </w:tcPr>
          <w:p w14:paraId="4B66A99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高强螺栓连接施工终拧扭矩检查</w:t>
            </w:r>
          </w:p>
        </w:tc>
        <w:tc>
          <w:tcPr>
            <w:tcW w:w="2705" w:type="pct"/>
            <w:vAlign w:val="center"/>
          </w:tcPr>
          <w:p w14:paraId="02BE5C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检查方法：</w:t>
            </w:r>
          </w:p>
          <w:p w14:paraId="63698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节点总数：</w:t>
            </w:r>
          </w:p>
          <w:p w14:paraId="43D3B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抽检节点数量：</w:t>
            </w:r>
          </w:p>
          <w:p w14:paraId="7A619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节点抽检比例：</w:t>
            </w:r>
          </w:p>
          <w:p w14:paraId="3EF70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抽检节点螺栓总数：</w:t>
            </w:r>
          </w:p>
          <w:p w14:paraId="743A2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抽检螺栓数量：</w:t>
            </w:r>
          </w:p>
          <w:p w14:paraId="5223A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抽检螺栓比例：</w:t>
            </w:r>
          </w:p>
          <w:p w14:paraId="4188F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19" w:type="pct"/>
            <w:vAlign w:val="center"/>
          </w:tcPr>
          <w:p w14:paraId="438E23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【要求】同上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0BE4D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4182C8EF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709" w:type="pct"/>
            <w:vAlign w:val="center"/>
          </w:tcPr>
          <w:p w14:paraId="7308150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劲性结构</w:t>
            </w:r>
          </w:p>
          <w:p w14:paraId="68338FC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焊钉焊接</w:t>
            </w:r>
          </w:p>
          <w:p w14:paraId="0D23DEE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质量检查</w:t>
            </w:r>
          </w:p>
        </w:tc>
        <w:tc>
          <w:tcPr>
            <w:tcW w:w="2705" w:type="pct"/>
            <w:vAlign w:val="center"/>
          </w:tcPr>
          <w:p w14:paraId="698C7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构件数量：</w:t>
            </w:r>
          </w:p>
          <w:p w14:paraId="34DF7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检查数量：</w:t>
            </w:r>
          </w:p>
          <w:p w14:paraId="0D7C9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检查方法：</w:t>
            </w:r>
          </w:p>
          <w:p w14:paraId="43C1B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19" w:type="pct"/>
          </w:tcPr>
          <w:p w14:paraId="3B9B8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【要求】当采用</w:t>
            </w:r>
            <w:r>
              <w:rPr>
                <w:rFonts w:hint="eastAsia"/>
                <w:szCs w:val="21"/>
              </w:rPr>
              <w:t>不同焊接方式时</w:t>
            </w:r>
            <w:r>
              <w:rPr>
                <w:szCs w:val="21"/>
              </w:rPr>
              <w:t>，应分别列出。</w:t>
            </w:r>
          </w:p>
        </w:tc>
      </w:tr>
      <w:tr w14:paraId="1E0B8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24A3F687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709" w:type="pct"/>
            <w:vAlign w:val="center"/>
          </w:tcPr>
          <w:p w14:paraId="6D80822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屋面防水</w:t>
            </w:r>
          </w:p>
          <w:p w14:paraId="434E52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材料</w:t>
            </w:r>
          </w:p>
        </w:tc>
        <w:tc>
          <w:tcPr>
            <w:tcW w:w="2705" w:type="pct"/>
            <w:vAlign w:val="center"/>
          </w:tcPr>
          <w:p w14:paraId="7DD3B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材料名称：</w:t>
            </w:r>
          </w:p>
          <w:p w14:paraId="6FE8E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进场数量：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   </w:t>
            </w:r>
            <w:r>
              <w:rPr>
                <w:szCs w:val="21"/>
              </w:rPr>
              <w:t>吨（卷）</w:t>
            </w:r>
          </w:p>
          <w:p w14:paraId="2D4FC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复试组数：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   </w:t>
            </w:r>
            <w:r>
              <w:rPr>
                <w:szCs w:val="21"/>
              </w:rPr>
              <w:t>组</w:t>
            </w:r>
          </w:p>
          <w:p w14:paraId="7B121D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19" w:type="pct"/>
            <w:vAlign w:val="center"/>
          </w:tcPr>
          <w:p w14:paraId="631EB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【要求】当采用多种防水材料时，应分别列出。</w:t>
            </w:r>
          </w:p>
        </w:tc>
      </w:tr>
      <w:tr w14:paraId="22FF6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243FB030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709" w:type="pct"/>
            <w:vAlign w:val="center"/>
          </w:tcPr>
          <w:p w14:paraId="0CB46FD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易燃装饰材料防火</w:t>
            </w:r>
          </w:p>
        </w:tc>
        <w:tc>
          <w:tcPr>
            <w:tcW w:w="2705" w:type="pct"/>
            <w:vAlign w:val="center"/>
          </w:tcPr>
          <w:p w14:paraId="7C2AB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防火材料的合格证：</w:t>
            </w:r>
          </w:p>
          <w:p w14:paraId="02AB5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检测报告：</w:t>
            </w:r>
          </w:p>
          <w:p w14:paraId="57FF2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施工记录：</w:t>
            </w:r>
          </w:p>
          <w:p w14:paraId="653F7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19" w:type="pct"/>
            <w:vAlign w:val="center"/>
          </w:tcPr>
          <w:p w14:paraId="2D8FB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【要求】核查上述资料的完整性。</w:t>
            </w:r>
          </w:p>
        </w:tc>
      </w:tr>
      <w:tr w14:paraId="38501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2280A55C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709" w:type="pct"/>
            <w:vAlign w:val="center"/>
          </w:tcPr>
          <w:p w14:paraId="58D2392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钢结构防腐</w:t>
            </w:r>
          </w:p>
        </w:tc>
        <w:tc>
          <w:tcPr>
            <w:tcW w:w="2705" w:type="pct"/>
            <w:vAlign w:val="center"/>
          </w:tcPr>
          <w:p w14:paraId="6DAB2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设计要求防腐材料的种类、厚度：</w:t>
            </w:r>
          </w:p>
          <w:p w14:paraId="09282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底漆：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>，厚度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szCs w:val="21"/>
              </w:rPr>
              <w:t>μm</w:t>
            </w:r>
          </w:p>
          <w:p w14:paraId="3746A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中间漆：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szCs w:val="21"/>
              </w:rPr>
              <w:t>，厚度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szCs w:val="21"/>
              </w:rPr>
              <w:t>μm</w:t>
            </w:r>
          </w:p>
          <w:p w14:paraId="531C5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面漆：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>，厚度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szCs w:val="21"/>
              </w:rPr>
              <w:t>μm</w:t>
            </w:r>
          </w:p>
          <w:p w14:paraId="3898E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实测值：</w:t>
            </w:r>
          </w:p>
          <w:p w14:paraId="32B95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底漆：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>，厚度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szCs w:val="21"/>
              </w:rPr>
              <w:t>μm</w:t>
            </w:r>
          </w:p>
          <w:p w14:paraId="4FF59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中间漆：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szCs w:val="21"/>
              </w:rPr>
              <w:t>，厚度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szCs w:val="21"/>
              </w:rPr>
              <w:t>μm</w:t>
            </w:r>
          </w:p>
          <w:p w14:paraId="09F60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面漆：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>，厚度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szCs w:val="21"/>
              </w:rPr>
              <w:t>μm</w:t>
            </w:r>
          </w:p>
        </w:tc>
        <w:tc>
          <w:tcPr>
            <w:tcW w:w="1219" w:type="pct"/>
            <w:vAlign w:val="center"/>
          </w:tcPr>
          <w:p w14:paraId="67568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【要求】应将厂房主体结构、工艺钢结构不同设计要求，分别填写。</w:t>
            </w:r>
          </w:p>
        </w:tc>
      </w:tr>
      <w:tr w14:paraId="4F27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367" w:type="pct"/>
            <w:vAlign w:val="center"/>
          </w:tcPr>
          <w:p w14:paraId="7E73EEDC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709" w:type="pct"/>
            <w:vAlign w:val="center"/>
          </w:tcPr>
          <w:p w14:paraId="75C8998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钢结构防火</w:t>
            </w:r>
          </w:p>
        </w:tc>
        <w:tc>
          <w:tcPr>
            <w:tcW w:w="2705" w:type="pct"/>
            <w:vAlign w:val="center"/>
          </w:tcPr>
          <w:p w14:paraId="7529E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设计要求：</w:t>
            </w:r>
          </w:p>
          <w:p w14:paraId="2C53A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材料种类：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>，厚度   mm</w:t>
            </w:r>
          </w:p>
          <w:p w14:paraId="71D8E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szCs w:val="21"/>
              </w:rPr>
              <w:t>防火材料的合格证、检验报告是否齐全：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</w:t>
            </w:r>
          </w:p>
          <w:p w14:paraId="5E69E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否</w:t>
            </w:r>
          </w:p>
          <w:p w14:paraId="3EF06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现场厚度检测报告：</w:t>
            </w:r>
          </w:p>
          <w:p w14:paraId="5FBDE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19" w:type="pct"/>
            <w:vAlign w:val="center"/>
          </w:tcPr>
          <w:p w14:paraId="7DF61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【要求】应将厂房主体结构、工艺钢结构不同部位、不同设计要求，分别填写。</w:t>
            </w:r>
          </w:p>
        </w:tc>
      </w:tr>
      <w:tr w14:paraId="5BC45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6" w:type="pct"/>
            <w:gridSpan w:val="2"/>
            <w:vAlign w:val="center"/>
          </w:tcPr>
          <w:p w14:paraId="464CA0D6">
            <w:pPr>
              <w:jc w:val="center"/>
              <w:rPr>
                <w:b/>
                <w:szCs w:val="21"/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3924" w:type="pct"/>
            <w:gridSpan w:val="2"/>
            <w:vAlign w:val="center"/>
          </w:tcPr>
          <w:p w14:paraId="32987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34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37F82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查结果：上表所列重要信息及数据本工程共涉及    项，经核查全部真实有效 □ ；经核查缺少    项 □；经核查    项数据不真实。</w:t>
            </w:r>
          </w:p>
          <w:p w14:paraId="0B219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55037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1B67B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2321E7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6" w:afterLines="50" w:line="340" w:lineRule="exact"/>
              <w:jc w:val="right"/>
              <w:textAlignment w:val="auto"/>
              <w:rPr>
                <w:szCs w:val="21"/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年    月    日</w:t>
            </w:r>
          </w:p>
        </w:tc>
      </w:tr>
    </w:tbl>
    <w:p w14:paraId="0B77892D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表B-2  机械、管道</w:t>
      </w:r>
      <w:r>
        <w:rPr>
          <w:rFonts w:ascii="Times New Roman" w:hAnsi="Times New Roman" w:eastAsia="宋体"/>
          <w:b/>
          <w:sz w:val="24"/>
          <w:szCs w:val="24"/>
        </w:rPr>
        <w:t>工程</w:t>
      </w:r>
      <w:r>
        <w:rPr>
          <w:rFonts w:hint="eastAsia" w:ascii="Times New Roman" w:hAnsi="Times New Roman" w:eastAsia="宋体"/>
          <w:b/>
          <w:sz w:val="24"/>
          <w:szCs w:val="24"/>
        </w:rPr>
        <w:t>有关数据</w:t>
      </w:r>
      <w:r>
        <w:rPr>
          <w:rFonts w:ascii="Times New Roman" w:hAnsi="Times New Roman" w:eastAsia="宋体"/>
          <w:b/>
          <w:sz w:val="24"/>
          <w:szCs w:val="24"/>
        </w:rPr>
        <w:t>（</w:t>
      </w:r>
      <w:r>
        <w:rPr>
          <w:rFonts w:hint="eastAsia" w:ascii="Times New Roman" w:hAnsi="Times New Roman" w:eastAsia="宋体"/>
          <w:b/>
          <w:sz w:val="24"/>
          <w:szCs w:val="24"/>
        </w:rPr>
        <w:t>冶金</w:t>
      </w:r>
      <w:r>
        <w:rPr>
          <w:rFonts w:ascii="Times New Roman" w:hAnsi="Times New Roman" w:eastAsia="宋体"/>
          <w:b/>
          <w:sz w:val="24"/>
          <w:szCs w:val="24"/>
        </w:rPr>
        <w:t>工程）</w:t>
      </w:r>
    </w:p>
    <w:tbl>
      <w:tblPr>
        <w:tblStyle w:val="2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1300"/>
        <w:gridCol w:w="5247"/>
        <w:gridCol w:w="1718"/>
      </w:tblGrid>
      <w:tr w14:paraId="4B67C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3" w:type="pct"/>
            <w:gridSpan w:val="2"/>
            <w:vAlign w:val="center"/>
          </w:tcPr>
          <w:p w14:paraId="705F290D">
            <w:pPr>
              <w:spacing w:before="156" w:beforeLines="50" w:after="156" w:afterLines="50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3917" w:type="pct"/>
            <w:gridSpan w:val="2"/>
            <w:vAlign w:val="center"/>
          </w:tcPr>
          <w:p w14:paraId="2333762E">
            <w:pPr>
              <w:spacing w:before="156" w:beforeLines="50" w:after="156" w:afterLines="5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57E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52" w:type="pct"/>
            <w:vAlign w:val="center"/>
          </w:tcPr>
          <w:p w14:paraId="70832DA4">
            <w:pPr>
              <w:jc w:val="center"/>
              <w:rPr>
                <w:b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31" w:type="pct"/>
            <w:vAlign w:val="center"/>
          </w:tcPr>
          <w:p w14:paraId="5278155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951" w:type="pct"/>
            <w:vAlign w:val="center"/>
          </w:tcPr>
          <w:p w14:paraId="6523605F">
            <w:pPr>
              <w:jc w:val="center"/>
              <w:rPr>
                <w:b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966" w:type="pct"/>
            <w:vAlign w:val="center"/>
          </w:tcPr>
          <w:p w14:paraId="3D2C95BB">
            <w:pPr>
              <w:jc w:val="center"/>
              <w:rPr>
                <w:b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043B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310A826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31" w:type="pct"/>
            <w:vAlign w:val="center"/>
          </w:tcPr>
          <w:p w14:paraId="5F85AB4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起重设备</w:t>
            </w:r>
          </w:p>
        </w:tc>
        <w:tc>
          <w:tcPr>
            <w:tcW w:w="2951" w:type="pct"/>
            <w:vAlign w:val="center"/>
          </w:tcPr>
          <w:p w14:paraId="039EA5A5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静载试验载荷：</w:t>
            </w:r>
          </w:p>
          <w:p w14:paraId="4304D115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动载试验载荷：</w:t>
            </w:r>
          </w:p>
          <w:p w14:paraId="0CB2781B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5808CDF6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【要求】主要设备名称进行填录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03DE3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1CC6015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1" w:type="pct"/>
            <w:vAlign w:val="center"/>
          </w:tcPr>
          <w:p w14:paraId="006CFE4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起重设备</w:t>
            </w:r>
          </w:p>
          <w:p w14:paraId="18A3CD68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试运转</w:t>
            </w:r>
          </w:p>
        </w:tc>
        <w:tc>
          <w:tcPr>
            <w:tcW w:w="2951" w:type="pct"/>
            <w:vAlign w:val="center"/>
          </w:tcPr>
          <w:p w14:paraId="674887B8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              h</w:t>
            </w:r>
          </w:p>
          <w:p w14:paraId="74604ACD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试验情况：</w:t>
            </w:r>
          </w:p>
          <w:p w14:paraId="5F4ED1A9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07F3D64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Cs w:val="21"/>
              </w:rPr>
              <w:t>【要求】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同上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3645F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2C8F8CBC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31" w:type="pct"/>
            <w:vAlign w:val="center"/>
          </w:tcPr>
          <w:p w14:paraId="5281B0B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工业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/工艺</w:t>
            </w:r>
          </w:p>
          <w:p w14:paraId="269AD203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管道焊接</w:t>
            </w:r>
          </w:p>
        </w:tc>
        <w:tc>
          <w:tcPr>
            <w:tcW w:w="2951" w:type="pct"/>
            <w:vAlign w:val="center"/>
          </w:tcPr>
          <w:p w14:paraId="4DA6A4EA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管道材质：</w:t>
            </w:r>
          </w:p>
          <w:p w14:paraId="08B671B3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管道规格：</w:t>
            </w:r>
          </w:p>
          <w:p w14:paraId="4EF59623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管道焊接质量检验方法：</w:t>
            </w:r>
          </w:p>
          <w:p w14:paraId="204F58BC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管道焊接质量检验数量：</w:t>
            </w:r>
          </w:p>
          <w:p w14:paraId="79AC39BD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规定数量：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，实际检验数量：</w:t>
            </w:r>
          </w:p>
          <w:p w14:paraId="6BF09B79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复查专家意见：</w:t>
            </w:r>
          </w:p>
        </w:tc>
        <w:tc>
          <w:tcPr>
            <w:tcW w:w="966" w:type="pct"/>
            <w:vAlign w:val="center"/>
          </w:tcPr>
          <w:p w14:paraId="2451DE0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【要求】应按工业管道、工艺管道（除液压）不同介质种类分别列出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5B8A9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14FBB07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1" w:type="pct"/>
            <w:vAlign w:val="center"/>
          </w:tcPr>
          <w:p w14:paraId="2B8CEFA4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工业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/工艺</w:t>
            </w:r>
          </w:p>
          <w:p w14:paraId="4029506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管道系统</w:t>
            </w:r>
          </w:p>
          <w:p w14:paraId="288C15C8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强度试验</w:t>
            </w:r>
          </w:p>
        </w:tc>
        <w:tc>
          <w:tcPr>
            <w:tcW w:w="2951" w:type="pct"/>
            <w:vAlign w:val="center"/>
          </w:tcPr>
          <w:p w14:paraId="5C21B7B2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设计压力：</w:t>
            </w:r>
          </w:p>
          <w:p w14:paraId="6820D5DD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设计规定试验压力：</w:t>
            </w:r>
          </w:p>
          <w:p w14:paraId="57FD4633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实际试验压力：</w:t>
            </w:r>
          </w:p>
          <w:p w14:paraId="2FF2A3F3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</w:t>
            </w:r>
          </w:p>
          <w:p w14:paraId="05535EC2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76F89A8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【要求】应按工业管道、工艺管道（除液压）不同介质种类分别列出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56071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595DB1A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1" w:type="pct"/>
            <w:vAlign w:val="center"/>
          </w:tcPr>
          <w:p w14:paraId="147CD8A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工业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/工艺</w:t>
            </w:r>
          </w:p>
          <w:p w14:paraId="27476647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管道系统</w:t>
            </w:r>
          </w:p>
          <w:p w14:paraId="30E673CC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严密性试验</w:t>
            </w:r>
          </w:p>
        </w:tc>
        <w:tc>
          <w:tcPr>
            <w:tcW w:w="2951" w:type="pct"/>
            <w:vAlign w:val="center"/>
          </w:tcPr>
          <w:p w14:paraId="11F1F1B8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设计压力：     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Pa</w:t>
            </w:r>
          </w:p>
          <w:p w14:paraId="28BF30C2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实际试验压力：              Pa</w:t>
            </w:r>
          </w:p>
          <w:p w14:paraId="4E33C4CA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              min</w:t>
            </w:r>
          </w:p>
          <w:p w14:paraId="015BEAE4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4DEF6B1F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Cs w:val="21"/>
              </w:rPr>
              <w:t>【要求】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同上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6B298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2483A5B5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31" w:type="pct"/>
            <w:vAlign w:val="center"/>
          </w:tcPr>
          <w:p w14:paraId="334CC03D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液压</w:t>
            </w:r>
          </w:p>
          <w:p w14:paraId="0C377797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管道焊接</w:t>
            </w:r>
          </w:p>
        </w:tc>
        <w:tc>
          <w:tcPr>
            <w:tcW w:w="2951" w:type="pct"/>
            <w:vAlign w:val="center"/>
          </w:tcPr>
          <w:p w14:paraId="15D6645F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管道材质：</w:t>
            </w:r>
          </w:p>
          <w:p w14:paraId="721596D7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管道规格：</w:t>
            </w:r>
          </w:p>
          <w:p w14:paraId="19BDBEFF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管道焊接质量检验方法：</w:t>
            </w:r>
          </w:p>
          <w:p w14:paraId="04AD6B20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管道焊接质量检验数量：</w:t>
            </w:r>
          </w:p>
          <w:p w14:paraId="023DB088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规定数量：   ，实际检验数量：</w:t>
            </w:r>
          </w:p>
          <w:p w14:paraId="7FF9BC7A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966" w:type="pct"/>
            <w:vAlign w:val="center"/>
          </w:tcPr>
          <w:p w14:paraId="136B69F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【要求】应按不同液压系统分别列出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49D3D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4AF44C92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31" w:type="pct"/>
            <w:vAlign w:val="center"/>
          </w:tcPr>
          <w:p w14:paraId="0C0673A3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液压系统</w:t>
            </w:r>
          </w:p>
          <w:p w14:paraId="3EF15338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强度试验</w:t>
            </w:r>
          </w:p>
        </w:tc>
        <w:tc>
          <w:tcPr>
            <w:tcW w:w="2951" w:type="pct"/>
            <w:vAlign w:val="center"/>
          </w:tcPr>
          <w:p w14:paraId="3836837D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设计工作压力：</w:t>
            </w:r>
          </w:p>
          <w:p w14:paraId="6D12767D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设计规定试验压力：</w:t>
            </w:r>
          </w:p>
          <w:p w14:paraId="0930E963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实际试验压力：</w:t>
            </w:r>
          </w:p>
          <w:p w14:paraId="0D8F1D29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</w:t>
            </w:r>
          </w:p>
          <w:p w14:paraId="6A242B37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1B7E062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Cs w:val="21"/>
              </w:rPr>
              <w:t>【要求】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同上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34480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13A114A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1" w:type="pct"/>
            <w:vAlign w:val="center"/>
          </w:tcPr>
          <w:p w14:paraId="792B85A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液压系统</w:t>
            </w:r>
          </w:p>
          <w:p w14:paraId="628CA55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严密性试验</w:t>
            </w:r>
          </w:p>
        </w:tc>
        <w:tc>
          <w:tcPr>
            <w:tcW w:w="2951" w:type="pct"/>
            <w:vAlign w:val="center"/>
          </w:tcPr>
          <w:p w14:paraId="6CAEF397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设计工作压力：              Pa</w:t>
            </w:r>
          </w:p>
          <w:p w14:paraId="303D5EA7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实际试验压力：              Pa</w:t>
            </w:r>
          </w:p>
          <w:p w14:paraId="1CC32EFF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              min</w:t>
            </w:r>
          </w:p>
          <w:p w14:paraId="536C0284">
            <w:pPr>
              <w:spacing w:line="31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13AD3E9A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【要求】应按不同液压系统分别列出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0A4D7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6F15493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31" w:type="pct"/>
            <w:vAlign w:val="center"/>
          </w:tcPr>
          <w:p w14:paraId="69642442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消防给水与消火栓系统</w:t>
            </w:r>
          </w:p>
        </w:tc>
        <w:tc>
          <w:tcPr>
            <w:tcW w:w="2951" w:type="pct"/>
            <w:vAlign w:val="center"/>
          </w:tcPr>
          <w:p w14:paraId="4465E86B">
            <w:pPr>
              <w:spacing w:line="30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建筑占地面积：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m</w:t>
            </w:r>
            <w:r>
              <w:rPr>
                <w:rFonts w:hint="eastAsia"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 w14:paraId="12DB4BC6">
            <w:pPr>
              <w:spacing w:line="30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室外消火栓的设置间距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     m</w:t>
            </w:r>
          </w:p>
          <w:p w14:paraId="65685F49">
            <w:pPr>
              <w:spacing w:line="30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室外消火栓与建（构）筑物外墙的距离：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m</w:t>
            </w:r>
          </w:p>
          <w:p w14:paraId="5E540F6D">
            <w:pPr>
              <w:spacing w:line="30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给水引入管设置倒流防止器：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否</w:t>
            </w:r>
          </w:p>
          <w:p w14:paraId="087739CC">
            <w:pPr>
              <w:spacing w:line="30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倒流防止器前增设消火栓：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否</w:t>
            </w:r>
          </w:p>
          <w:p w14:paraId="30A0D8DD">
            <w:pPr>
              <w:spacing w:line="30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  <w:p w14:paraId="1F56F198">
            <w:pPr>
              <w:spacing w:line="30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室外消火栓直接用于灭火：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否</w:t>
            </w:r>
          </w:p>
          <w:p w14:paraId="1FFFF300">
            <w:pPr>
              <w:spacing w:line="30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室外消防给水设计流量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：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L/s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8FB65AE">
            <w:pPr>
              <w:spacing w:line="30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消防给水系统压力：  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MPa</w:t>
            </w:r>
          </w:p>
          <w:p w14:paraId="33D72380">
            <w:pPr>
              <w:spacing w:line="30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6FB4526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主工艺厂房、主电气室、生产综合办公楼逐一列出。</w:t>
            </w:r>
          </w:p>
        </w:tc>
      </w:tr>
      <w:tr w14:paraId="50698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4BAAE088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1" w:type="pct"/>
            <w:vAlign w:val="center"/>
          </w:tcPr>
          <w:p w14:paraId="5194216F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消火栓试射</w:t>
            </w:r>
          </w:p>
        </w:tc>
        <w:tc>
          <w:tcPr>
            <w:tcW w:w="2951" w:type="pct"/>
            <w:vAlign w:val="center"/>
          </w:tcPr>
          <w:p w14:paraId="2D4C20FF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设计要求充实水柱长度：</w:t>
            </w:r>
          </w:p>
          <w:p w14:paraId="1995A210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顶点：       m，首层：    m</w:t>
            </w:r>
          </w:p>
          <w:p w14:paraId="0FE4CE27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试验结果：</w:t>
            </w:r>
          </w:p>
          <w:p w14:paraId="34F0321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顶点：       m，首层：    m</w:t>
            </w:r>
          </w:p>
          <w:p w14:paraId="36467FA0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62AA67F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【要求】群体建筑应分别列出各建筑物的试验情况。</w:t>
            </w:r>
          </w:p>
        </w:tc>
      </w:tr>
      <w:tr w14:paraId="1BA1D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239B436F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731" w:type="pct"/>
            <w:vAlign w:val="center"/>
          </w:tcPr>
          <w:p w14:paraId="760065B8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自动喷水灭火系统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洒水喷头</w:t>
            </w:r>
          </w:p>
        </w:tc>
        <w:tc>
          <w:tcPr>
            <w:tcW w:w="2951" w:type="pct"/>
            <w:vAlign w:val="center"/>
          </w:tcPr>
          <w:p w14:paraId="5857D756">
            <w:pPr>
              <w:tabs>
                <w:tab w:val="left" w:pos="783"/>
              </w:tabs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喷头安装位置要求：</w:t>
            </w:r>
          </w:p>
          <w:p w14:paraId="50E53470">
            <w:pPr>
              <w:tabs>
                <w:tab w:val="left" w:pos="783"/>
              </w:tabs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喷头间距应满足有效喷水和使可燃物或保护对象被全部覆盖的要求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否</w:t>
            </w:r>
          </w:p>
          <w:p w14:paraId="794A5D9E">
            <w:pPr>
              <w:tabs>
                <w:tab w:val="left" w:pos="783"/>
              </w:tabs>
              <w:spacing w:line="290" w:lineRule="exact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喷头周围不应有遮挡或影响洒水效果的障碍物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</w:t>
            </w:r>
          </w:p>
          <w:p w14:paraId="4501B2B2">
            <w:pPr>
              <w:tabs>
                <w:tab w:val="left" w:pos="783"/>
              </w:tabs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否</w:t>
            </w:r>
          </w:p>
          <w:p w14:paraId="5A1559AE">
            <w:pPr>
              <w:tabs>
                <w:tab w:val="left" w:pos="783"/>
              </w:tabs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腐蚀性场所和易产生粉尘、纤维等的场所内的喷头，应采取防止喷头堵塞的措施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否</w:t>
            </w:r>
          </w:p>
          <w:p w14:paraId="7679BE46">
            <w:pPr>
              <w:tabs>
                <w:tab w:val="left" w:pos="783"/>
              </w:tabs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系统水力计算最不利点处喷头的工作压力应大于或等于0.05MPa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否</w:t>
            </w:r>
          </w:p>
          <w:p w14:paraId="0771362B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20956F3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【要求】安装该系统的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主电气室、生产综合办公楼逐一列出。</w:t>
            </w:r>
          </w:p>
        </w:tc>
      </w:tr>
      <w:tr w14:paraId="30E28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0A5485D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31" w:type="pct"/>
            <w:vAlign w:val="center"/>
          </w:tcPr>
          <w:p w14:paraId="55024EED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自动喷水灭火系统管网强度试验</w:t>
            </w:r>
          </w:p>
        </w:tc>
        <w:tc>
          <w:tcPr>
            <w:tcW w:w="2951" w:type="pct"/>
            <w:vAlign w:val="center"/>
          </w:tcPr>
          <w:p w14:paraId="6440EC0C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设计工作压力：            MPa</w:t>
            </w:r>
          </w:p>
          <w:p w14:paraId="5C2B30B5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设计规定试验压力：        MPa</w:t>
            </w:r>
          </w:p>
          <w:p w14:paraId="00054F41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实际试验压力：            MPa</w:t>
            </w:r>
          </w:p>
          <w:p w14:paraId="1905ABDE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            min</w:t>
            </w:r>
          </w:p>
          <w:p w14:paraId="31A9F47A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7" w:name="OLE_LINK79"/>
            <w:bookmarkStart w:id="8" w:name="OLE_LINK80"/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最大压力降：              MPa</w:t>
            </w:r>
            <w:bookmarkEnd w:id="7"/>
            <w:bookmarkEnd w:id="8"/>
          </w:p>
          <w:p w14:paraId="72CE1BBA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7ACD676F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【要求】安装该系统的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主电气室、生产综合办公楼逐一列出。</w:t>
            </w:r>
          </w:p>
        </w:tc>
      </w:tr>
      <w:tr w14:paraId="28D02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3680F395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31" w:type="pct"/>
            <w:vAlign w:val="center"/>
          </w:tcPr>
          <w:p w14:paraId="6334D2BD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自动喷水灭火系统冲洗</w:t>
            </w:r>
          </w:p>
        </w:tc>
        <w:tc>
          <w:tcPr>
            <w:tcW w:w="2951" w:type="pct"/>
            <w:vAlign w:val="center"/>
          </w:tcPr>
          <w:p w14:paraId="1A3788B6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设计流速：               m/s</w:t>
            </w:r>
          </w:p>
          <w:p w14:paraId="750CDFBA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设计流量：               L/s</w:t>
            </w:r>
          </w:p>
          <w:p w14:paraId="60B0845B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实际冲洗流速：           m/s</w:t>
            </w:r>
          </w:p>
          <w:p w14:paraId="37135E5B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实际冲洗流量：           L/s</w:t>
            </w:r>
          </w:p>
          <w:p w14:paraId="3C524271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07D5D2D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Cs w:val="21"/>
              </w:rPr>
              <w:t>【要求】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同上。</w:t>
            </w:r>
          </w:p>
        </w:tc>
      </w:tr>
      <w:tr w14:paraId="49FD2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023F2C8D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731" w:type="pct"/>
            <w:vAlign w:val="center"/>
          </w:tcPr>
          <w:p w14:paraId="4171E143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自动喷水灭火系统</w:t>
            </w:r>
          </w:p>
          <w:p w14:paraId="5DDFC53C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严密性试验</w:t>
            </w:r>
          </w:p>
        </w:tc>
        <w:tc>
          <w:tcPr>
            <w:tcW w:w="2951" w:type="pct"/>
            <w:vAlign w:val="center"/>
          </w:tcPr>
          <w:p w14:paraId="1D13B251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设计工作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压力：           MPa</w:t>
            </w:r>
          </w:p>
          <w:p w14:paraId="2CD47B57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试验压力：               MPa</w:t>
            </w:r>
          </w:p>
          <w:p w14:paraId="1F63AB64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           h</w:t>
            </w:r>
          </w:p>
          <w:p w14:paraId="1504A8F7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3CD5D51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Cs w:val="21"/>
              </w:rPr>
              <w:t>【要求】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同上。</w:t>
            </w:r>
          </w:p>
        </w:tc>
      </w:tr>
      <w:tr w14:paraId="3CB21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7D85F7DD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31" w:type="pct"/>
            <w:vAlign w:val="center"/>
          </w:tcPr>
          <w:p w14:paraId="0471CC05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报警阀水压试验</w:t>
            </w:r>
          </w:p>
        </w:tc>
        <w:tc>
          <w:tcPr>
            <w:tcW w:w="2951" w:type="pct"/>
            <w:vAlign w:val="center"/>
          </w:tcPr>
          <w:p w14:paraId="183EE1DC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9" w:name="OLE_LINK84"/>
            <w:bookmarkStart w:id="10" w:name="OLE_LINK83"/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设计工作压力：           MPa</w:t>
            </w:r>
            <w:bookmarkEnd w:id="9"/>
            <w:bookmarkEnd w:id="10"/>
          </w:p>
          <w:p w14:paraId="575DC3DB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试验压力：               MPa</w:t>
            </w:r>
          </w:p>
          <w:p w14:paraId="07114C68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           min</w:t>
            </w:r>
          </w:p>
          <w:p w14:paraId="7EC5C97E">
            <w:pPr>
              <w:spacing w:line="29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244315C7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B16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69B4E452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31" w:type="pct"/>
            <w:vAlign w:val="center"/>
          </w:tcPr>
          <w:p w14:paraId="063C9428">
            <w:pPr>
              <w:spacing w:line="326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闭式喷头压力试验</w:t>
            </w:r>
          </w:p>
        </w:tc>
        <w:tc>
          <w:tcPr>
            <w:tcW w:w="2951" w:type="pct"/>
            <w:vAlign w:val="center"/>
          </w:tcPr>
          <w:p w14:paraId="0D95B8D9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设计工作压力：         MPa</w:t>
            </w:r>
          </w:p>
          <w:p w14:paraId="68674D8A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试验压力：             MPa</w:t>
            </w:r>
          </w:p>
          <w:p w14:paraId="0110718D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         min</w:t>
            </w:r>
          </w:p>
          <w:p w14:paraId="79551956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试验数量：             只</w:t>
            </w:r>
          </w:p>
          <w:p w14:paraId="212EF91E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代表批量：             只</w:t>
            </w:r>
          </w:p>
          <w:p w14:paraId="67116A93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416EECEC">
            <w:pPr>
              <w:spacing w:line="326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F1D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5C0C3D65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731" w:type="pct"/>
            <w:vAlign w:val="center"/>
          </w:tcPr>
          <w:p w14:paraId="181CE375">
            <w:pPr>
              <w:spacing w:line="326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给排水及消防系统水泵试运转</w:t>
            </w:r>
          </w:p>
        </w:tc>
        <w:tc>
          <w:tcPr>
            <w:tcW w:w="2951" w:type="pct"/>
            <w:vAlign w:val="center"/>
          </w:tcPr>
          <w:p w14:paraId="65743D0E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系统名称：</w:t>
            </w:r>
          </w:p>
          <w:p w14:paraId="2C25177F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水泵数量：             只</w:t>
            </w:r>
          </w:p>
          <w:p w14:paraId="5D0D290F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试验情况：      （简要描述试验过程）</w:t>
            </w:r>
          </w:p>
          <w:p w14:paraId="10C06395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0A289166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【要求】分系统说明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7C654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171404BB">
            <w:pPr>
              <w:pStyle w:val="40"/>
              <w:numPr>
                <w:ilvl w:val="255"/>
                <w:numId w:val="0"/>
              </w:num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31" w:type="pct"/>
            <w:vAlign w:val="center"/>
          </w:tcPr>
          <w:p w14:paraId="5B8B5162">
            <w:pPr>
              <w:spacing w:line="326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灭火器</w:t>
            </w:r>
          </w:p>
        </w:tc>
        <w:tc>
          <w:tcPr>
            <w:tcW w:w="2951" w:type="pct"/>
            <w:vAlign w:val="center"/>
          </w:tcPr>
          <w:p w14:paraId="5895473D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灭火器安装要求：</w:t>
            </w:r>
          </w:p>
          <w:p w14:paraId="2E13BABC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应设置在位置明显和便于取用的地点，且不应影响人员安全疏散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否</w:t>
            </w:r>
          </w:p>
          <w:p w14:paraId="083EA957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当确需设置在有视线障碍的设置点时，应设置指示灭火器位置的醒目标志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否</w:t>
            </w:r>
          </w:p>
          <w:p w14:paraId="1522C969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2A2A5755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主电气室、生产综合办公楼应逐一列出。</w:t>
            </w:r>
          </w:p>
        </w:tc>
      </w:tr>
      <w:tr w14:paraId="0D465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79D55B8F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731" w:type="pct"/>
            <w:vAlign w:val="center"/>
          </w:tcPr>
          <w:p w14:paraId="73D1C6F3">
            <w:pPr>
              <w:spacing w:line="326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锅炉水压试验</w:t>
            </w:r>
          </w:p>
        </w:tc>
        <w:tc>
          <w:tcPr>
            <w:tcW w:w="2951" w:type="pct"/>
            <w:vAlign w:val="center"/>
          </w:tcPr>
          <w:p w14:paraId="639D06F0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工作压力：             MPa</w:t>
            </w:r>
          </w:p>
          <w:p w14:paraId="0E3510AC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试验压力：             MPa</w:t>
            </w:r>
          </w:p>
          <w:p w14:paraId="30AEB15A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         min</w:t>
            </w:r>
          </w:p>
          <w:p w14:paraId="618CC372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7DE548A9">
            <w:pPr>
              <w:spacing w:line="326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163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46DA4A73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31" w:type="pct"/>
            <w:vAlign w:val="center"/>
          </w:tcPr>
          <w:p w14:paraId="671E2459">
            <w:pPr>
              <w:spacing w:line="326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安全阀定压</w:t>
            </w:r>
          </w:p>
        </w:tc>
        <w:tc>
          <w:tcPr>
            <w:tcW w:w="2951" w:type="pct"/>
            <w:vAlign w:val="center"/>
          </w:tcPr>
          <w:p w14:paraId="04E8C958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安全阀定压调试记录（报告）</w:t>
            </w:r>
            <w:r>
              <w:rPr>
                <w:rFonts w:hint="eastAsia"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/>
                <w:b w:val="0"/>
                <w:bCs w:val="0"/>
                <w:szCs w:val="21"/>
                <w:bdr w:val="single" w:color="auto" w:sz="4" w:space="0"/>
              </w:rPr>
              <w:t>齐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bdr w:val="single" w:color="auto" w:sz="4" w:space="0"/>
              </w:rPr>
              <w:t>全</w:t>
            </w: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 xml:space="preserve">  </w:t>
            </w:r>
            <w:r>
              <w:rPr>
                <w:rFonts w:ascii="宋体" w:hAnsi="宋体" w:cs="宋体"/>
                <w:b w:val="0"/>
                <w:bCs w:val="0"/>
                <w:szCs w:val="21"/>
                <w:bdr w:val="single" w:color="auto" w:sz="4" w:space="0"/>
              </w:rPr>
              <w:t>不齐全</w:t>
            </w:r>
          </w:p>
        </w:tc>
        <w:tc>
          <w:tcPr>
            <w:tcW w:w="966" w:type="pct"/>
            <w:vAlign w:val="center"/>
          </w:tcPr>
          <w:p w14:paraId="0AAB4F58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【要求】按系统、规格核查安全阀定压调试记录或报告。</w:t>
            </w:r>
          </w:p>
        </w:tc>
      </w:tr>
      <w:tr w14:paraId="7BA6B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1491F6C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731" w:type="pct"/>
            <w:vAlign w:val="center"/>
          </w:tcPr>
          <w:p w14:paraId="18B0203E">
            <w:pPr>
              <w:spacing w:line="326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锅炉试运行</w:t>
            </w:r>
          </w:p>
        </w:tc>
        <w:tc>
          <w:tcPr>
            <w:tcW w:w="2951" w:type="pct"/>
            <w:vAlign w:val="center"/>
          </w:tcPr>
          <w:p w14:paraId="0FD6233F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试运行持续时间：         h</w:t>
            </w:r>
          </w:p>
          <w:p w14:paraId="1E11CC95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安全阀热状态定压、调整：    MPa</w:t>
            </w:r>
          </w:p>
          <w:p w14:paraId="2D571B7B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134E711E">
            <w:pPr>
              <w:spacing w:line="326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59B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4BC31107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731" w:type="pct"/>
            <w:vAlign w:val="center"/>
          </w:tcPr>
          <w:p w14:paraId="4EADC61A">
            <w:pPr>
              <w:spacing w:line="326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锅炉报警系统启动、联动试验</w:t>
            </w:r>
          </w:p>
        </w:tc>
        <w:tc>
          <w:tcPr>
            <w:tcW w:w="2951" w:type="pct"/>
            <w:vAlign w:val="center"/>
          </w:tcPr>
          <w:p w14:paraId="64C1B5E7">
            <w:pPr>
              <w:spacing w:line="326" w:lineRule="exact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锅炉报警系统启动、联动试验记录</w:t>
            </w:r>
            <w:r>
              <w:rPr>
                <w:rFonts w:hint="eastAsia"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/>
                <w:b w:val="0"/>
                <w:bCs w:val="0"/>
                <w:szCs w:val="21"/>
                <w:bdr w:val="single" w:color="auto" w:sz="4" w:space="0"/>
              </w:rPr>
              <w:t>齐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bdr w:val="single" w:color="auto" w:sz="4" w:space="0"/>
              </w:rPr>
              <w:t>全</w:t>
            </w: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 xml:space="preserve">  </w:t>
            </w:r>
            <w:r>
              <w:rPr>
                <w:rFonts w:ascii="宋体" w:hAnsi="宋体" w:cs="宋体"/>
                <w:b w:val="0"/>
                <w:bCs w:val="0"/>
                <w:szCs w:val="21"/>
                <w:bdr w:val="single" w:color="auto" w:sz="4" w:space="0"/>
              </w:rPr>
              <w:t>不齐全</w:t>
            </w:r>
          </w:p>
          <w:p w14:paraId="2FD27570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锅炉报警系统启动、联动试验内容、项目</w:t>
            </w:r>
          </w:p>
          <w:p w14:paraId="5C9D6FC6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11" w:name="_GoBack"/>
            <w:bookmarkEnd w:id="11"/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 xml:space="preserve"> </w:t>
            </w:r>
            <w:r>
              <w:rPr>
                <w:rFonts w:ascii="宋体" w:hAnsi="宋体" w:cs="宋体"/>
                <w:b w:val="0"/>
                <w:bCs w:val="0"/>
                <w:szCs w:val="21"/>
                <w:bdr w:val="single" w:color="auto" w:sz="4" w:space="0"/>
              </w:rPr>
              <w:t>完整</w:t>
            </w: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bdr w:val="single" w:color="auto" w:sz="4" w:space="0"/>
              </w:rPr>
              <w:t>不</w:t>
            </w:r>
            <w:r>
              <w:rPr>
                <w:rFonts w:ascii="宋体" w:hAnsi="宋体" w:cs="宋体"/>
                <w:b w:val="0"/>
                <w:bCs w:val="0"/>
                <w:szCs w:val="21"/>
                <w:bdr w:val="single" w:color="auto" w:sz="4" w:space="0"/>
              </w:rPr>
              <w:t>完整</w:t>
            </w:r>
          </w:p>
        </w:tc>
        <w:tc>
          <w:tcPr>
            <w:tcW w:w="966" w:type="pct"/>
            <w:vAlign w:val="center"/>
          </w:tcPr>
          <w:p w14:paraId="6E4EBC1F">
            <w:pPr>
              <w:spacing w:line="326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596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6CA6FCC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731" w:type="pct"/>
            <w:vAlign w:val="center"/>
          </w:tcPr>
          <w:p w14:paraId="3C847DF2">
            <w:pPr>
              <w:spacing w:line="326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设备本体配管压力试验</w:t>
            </w:r>
          </w:p>
        </w:tc>
        <w:tc>
          <w:tcPr>
            <w:tcW w:w="2951" w:type="pct"/>
            <w:vAlign w:val="center"/>
          </w:tcPr>
          <w:p w14:paraId="70C058FC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压力：              MPa</w:t>
            </w:r>
          </w:p>
          <w:p w14:paraId="44858B64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试验压力：              MPa</w:t>
            </w:r>
          </w:p>
          <w:p w14:paraId="132034B0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          min</w:t>
            </w:r>
          </w:p>
          <w:p w14:paraId="0590A6AB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67CA5701">
            <w:pPr>
              <w:spacing w:line="326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B67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15B78B14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731" w:type="pct"/>
            <w:vAlign w:val="center"/>
          </w:tcPr>
          <w:p w14:paraId="1E25DDDF">
            <w:pPr>
              <w:spacing w:line="326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设备本体配管</w:t>
            </w:r>
          </w:p>
          <w:p w14:paraId="098BBD56">
            <w:pPr>
              <w:spacing w:line="326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严密性试验</w:t>
            </w:r>
          </w:p>
        </w:tc>
        <w:tc>
          <w:tcPr>
            <w:tcW w:w="2951" w:type="pct"/>
            <w:vAlign w:val="center"/>
          </w:tcPr>
          <w:p w14:paraId="5E651CBD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设计工作压力：              Pa</w:t>
            </w:r>
          </w:p>
          <w:p w14:paraId="645DC52A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实际试验压力：              Pa</w:t>
            </w:r>
          </w:p>
          <w:p w14:paraId="180A34C5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              min</w:t>
            </w:r>
          </w:p>
          <w:p w14:paraId="32A8B49D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抽样方案：</w:t>
            </w:r>
          </w:p>
          <w:p w14:paraId="2933C98D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6B1E2741">
            <w:pPr>
              <w:spacing w:line="326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【要求】应按工业管道、工艺管道不同介质种类分别列出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75314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vAlign w:val="center"/>
          </w:tcPr>
          <w:p w14:paraId="37306462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731" w:type="pct"/>
            <w:vAlign w:val="center"/>
          </w:tcPr>
          <w:p w14:paraId="6CE3B7A5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主工艺设备（装置）调试</w:t>
            </w:r>
          </w:p>
        </w:tc>
        <w:tc>
          <w:tcPr>
            <w:tcW w:w="2951" w:type="pct"/>
            <w:vAlign w:val="center"/>
          </w:tcPr>
          <w:p w14:paraId="5554338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设备（装置）规格/型号：</w:t>
            </w:r>
          </w:p>
          <w:p w14:paraId="7BB8914A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设备（装置）数量：</w:t>
            </w:r>
          </w:p>
          <w:p w14:paraId="7DF2EE50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0216976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096DE5CB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5A4729E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966" w:type="pct"/>
            <w:vAlign w:val="center"/>
          </w:tcPr>
          <w:p w14:paraId="1D87C89A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【要求】应按主要工艺设备名称进行填录，当有多台同型号设备（装置）时应填写最低性能参数。复查专家应对设备（装置）的制造、安装、调试质量做出全面判断。</w:t>
            </w:r>
          </w:p>
        </w:tc>
      </w:tr>
      <w:tr w14:paraId="6C1A2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  <w:jc w:val="center"/>
        </w:trPr>
        <w:tc>
          <w:tcPr>
            <w:tcW w:w="352" w:type="pct"/>
            <w:vAlign w:val="center"/>
          </w:tcPr>
          <w:p w14:paraId="0E37291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731" w:type="pct"/>
            <w:vAlign w:val="center"/>
          </w:tcPr>
          <w:p w14:paraId="447C3F5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工艺设备联合试运转及调试</w:t>
            </w:r>
          </w:p>
        </w:tc>
        <w:tc>
          <w:tcPr>
            <w:tcW w:w="2951" w:type="pct"/>
            <w:vAlign w:val="center"/>
          </w:tcPr>
          <w:p w14:paraId="0EB3045F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各项性能是否符合设计及规范的规定：</w:t>
            </w:r>
          </w:p>
          <w:p w14:paraId="1355F03F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966" w:type="pct"/>
            <w:vAlign w:val="center"/>
          </w:tcPr>
          <w:p w14:paraId="30AA1A2B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【要求】应按主工艺设备名称进行填录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0A2E1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3" w:type="pct"/>
            <w:gridSpan w:val="2"/>
            <w:vAlign w:val="center"/>
          </w:tcPr>
          <w:p w14:paraId="69A786C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3917" w:type="pct"/>
            <w:gridSpan w:val="2"/>
            <w:vAlign w:val="center"/>
          </w:tcPr>
          <w:p w14:paraId="45CD7A32">
            <w:pPr>
              <w:spacing w:before="156" w:beforeLines="50" w:line="36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308D05DC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查结果：上表所列重要信息及数据本工程共涉及    项，经核查全部真实有效 □ ；经核查缺少    项 □；经核查    项数据不真实。</w:t>
            </w:r>
          </w:p>
          <w:p w14:paraId="65A49085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52B6AC80">
            <w:pPr>
              <w:spacing w:line="48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19D9EEF8">
            <w:pPr>
              <w:spacing w:line="36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252DAC29">
            <w:pPr>
              <w:spacing w:after="156" w:afterLines="50"/>
              <w:jc w:val="righ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年    月    日</w:t>
            </w:r>
          </w:p>
        </w:tc>
      </w:tr>
    </w:tbl>
    <w:p w14:paraId="0F4ABEB0">
      <w:pPr>
        <w:widowControl/>
        <w:jc w:val="lef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 w14:paraId="7E699736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表B-3  电气仪表安装</w:t>
      </w:r>
      <w:r>
        <w:rPr>
          <w:rFonts w:ascii="Times New Roman" w:hAnsi="Times New Roman" w:eastAsia="宋体"/>
          <w:b/>
          <w:sz w:val="24"/>
          <w:szCs w:val="24"/>
        </w:rPr>
        <w:t>工程</w:t>
      </w:r>
      <w:r>
        <w:rPr>
          <w:rFonts w:hint="eastAsia" w:ascii="Times New Roman" w:hAnsi="Times New Roman" w:eastAsia="宋体"/>
          <w:b/>
          <w:sz w:val="24"/>
          <w:szCs w:val="24"/>
        </w:rPr>
        <w:t>有关数据</w:t>
      </w:r>
      <w:r>
        <w:rPr>
          <w:rFonts w:ascii="Times New Roman" w:hAnsi="Times New Roman" w:eastAsia="宋体"/>
          <w:b/>
          <w:sz w:val="24"/>
          <w:szCs w:val="24"/>
        </w:rPr>
        <w:t>（</w:t>
      </w:r>
      <w:r>
        <w:rPr>
          <w:rFonts w:hint="eastAsia" w:ascii="Times New Roman" w:hAnsi="Times New Roman" w:eastAsia="宋体"/>
          <w:b/>
          <w:sz w:val="24"/>
          <w:szCs w:val="24"/>
        </w:rPr>
        <w:t>冶金</w:t>
      </w:r>
      <w:r>
        <w:rPr>
          <w:rFonts w:ascii="Times New Roman" w:hAnsi="Times New Roman" w:eastAsia="宋体"/>
          <w:b/>
          <w:sz w:val="24"/>
          <w:szCs w:val="24"/>
        </w:rPr>
        <w:t>工程）</w:t>
      </w:r>
    </w:p>
    <w:tbl>
      <w:tblPr>
        <w:tblStyle w:val="2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247"/>
        <w:gridCol w:w="4865"/>
        <w:gridCol w:w="2032"/>
      </w:tblGrid>
      <w:tr w14:paraId="25592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pct"/>
            <w:gridSpan w:val="2"/>
            <w:vAlign w:val="center"/>
          </w:tcPr>
          <w:p w14:paraId="6F402B7B">
            <w:pPr>
              <w:spacing w:before="156" w:beforeLines="50" w:after="156" w:afterLines="50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3879" w:type="pct"/>
            <w:gridSpan w:val="2"/>
            <w:vAlign w:val="center"/>
          </w:tcPr>
          <w:p w14:paraId="7975BCAA">
            <w:pPr>
              <w:spacing w:before="156" w:beforeLines="50" w:after="156" w:afterLines="5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A7F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" w:type="pct"/>
            <w:vAlign w:val="center"/>
          </w:tcPr>
          <w:p w14:paraId="19A731CB">
            <w:pPr>
              <w:jc w:val="center"/>
              <w:rPr>
                <w:b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01" w:type="pct"/>
            <w:vAlign w:val="center"/>
          </w:tcPr>
          <w:p w14:paraId="33D8318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736" w:type="pct"/>
            <w:vAlign w:val="center"/>
          </w:tcPr>
          <w:p w14:paraId="6FF57093">
            <w:pPr>
              <w:jc w:val="center"/>
              <w:rPr>
                <w:b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143" w:type="pct"/>
            <w:vAlign w:val="center"/>
          </w:tcPr>
          <w:p w14:paraId="258DBA55">
            <w:pPr>
              <w:jc w:val="center"/>
              <w:rPr>
                <w:b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AEFE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" w:type="pct"/>
            <w:vAlign w:val="center"/>
          </w:tcPr>
          <w:p w14:paraId="21E44302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1" w:type="pct"/>
            <w:vAlign w:val="center"/>
          </w:tcPr>
          <w:p w14:paraId="547F489E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电力变压器</w:t>
            </w:r>
          </w:p>
        </w:tc>
        <w:tc>
          <w:tcPr>
            <w:tcW w:w="2736" w:type="pct"/>
            <w:vAlign w:val="center"/>
          </w:tcPr>
          <w:p w14:paraId="3ADB6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变压器数量：</w:t>
            </w:r>
          </w:p>
          <w:p w14:paraId="6035B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能效水平：</w:t>
            </w:r>
          </w:p>
          <w:p w14:paraId="6E12F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143" w:type="pct"/>
            <w:vAlign w:val="center"/>
          </w:tcPr>
          <w:p w14:paraId="0EBD0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【要求】变配电系统变压器逐一填写。</w:t>
            </w:r>
          </w:p>
        </w:tc>
      </w:tr>
      <w:tr w14:paraId="46EBB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" w:type="pct"/>
            <w:vAlign w:val="center"/>
          </w:tcPr>
          <w:p w14:paraId="60C1E217">
            <w:pPr>
              <w:pStyle w:val="40"/>
              <w:numPr>
                <w:ilvl w:val="255"/>
                <w:numId w:val="0"/>
              </w:num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1" w:type="pct"/>
            <w:vAlign w:val="center"/>
          </w:tcPr>
          <w:p w14:paraId="0A970BE6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变配电设备</w:t>
            </w:r>
          </w:p>
        </w:tc>
        <w:tc>
          <w:tcPr>
            <w:tcW w:w="2736" w:type="pct"/>
            <w:vAlign w:val="center"/>
          </w:tcPr>
          <w:p w14:paraId="22354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变配电设备数量：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  <w:p w14:paraId="0ADFE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安装验收结果：</w:t>
            </w:r>
          </w:p>
          <w:p w14:paraId="3152D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143" w:type="pct"/>
            <w:vAlign w:val="center"/>
          </w:tcPr>
          <w:p w14:paraId="32ABD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lef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【要求】变配电室、主电气室应逐一填写。</w:t>
            </w:r>
          </w:p>
        </w:tc>
      </w:tr>
      <w:tr w14:paraId="284C7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" w:type="pct"/>
            <w:vAlign w:val="center"/>
          </w:tcPr>
          <w:p w14:paraId="4A66D7F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1" w:type="pct"/>
            <w:vAlign w:val="center"/>
          </w:tcPr>
          <w:p w14:paraId="2B6A8C9D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接地电阻</w:t>
            </w:r>
          </w:p>
        </w:tc>
        <w:tc>
          <w:tcPr>
            <w:tcW w:w="2736" w:type="pct"/>
            <w:vAlign w:val="center"/>
          </w:tcPr>
          <w:p w14:paraId="7A046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测试点数量：</w:t>
            </w:r>
          </w:p>
          <w:p w14:paraId="7CC99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设计允许最大阻值：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Ω</w:t>
            </w:r>
          </w:p>
          <w:p w14:paraId="6DE86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测试结果：最大    Ω</w:t>
            </w:r>
          </w:p>
          <w:p w14:paraId="51A88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143" w:type="pct"/>
            <w:vAlign w:val="center"/>
          </w:tcPr>
          <w:p w14:paraId="16426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lef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【要求】变配电室、主电气室应逐一填写。</w:t>
            </w:r>
          </w:p>
        </w:tc>
      </w:tr>
      <w:tr w14:paraId="4DD8F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" w:type="pct"/>
            <w:vAlign w:val="center"/>
          </w:tcPr>
          <w:p w14:paraId="2162E03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1" w:type="pct"/>
            <w:vAlign w:val="center"/>
          </w:tcPr>
          <w:p w14:paraId="11C3CD32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绝缘电阻</w:t>
            </w:r>
          </w:p>
        </w:tc>
        <w:tc>
          <w:tcPr>
            <w:tcW w:w="2736" w:type="pct"/>
            <w:vAlign w:val="center"/>
          </w:tcPr>
          <w:p w14:paraId="0D08A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测试仪表型号：</w:t>
            </w:r>
          </w:p>
          <w:p w14:paraId="0F205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校验日期：</w:t>
            </w:r>
          </w:p>
          <w:p w14:paraId="790C02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测试仪表电压等级：    V</w:t>
            </w:r>
          </w:p>
          <w:p w14:paraId="5BD7F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测试结果：最小值    Ω</w:t>
            </w:r>
          </w:p>
        </w:tc>
        <w:tc>
          <w:tcPr>
            <w:tcW w:w="1143" w:type="pct"/>
            <w:vAlign w:val="center"/>
          </w:tcPr>
          <w:p w14:paraId="56A72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【要求】主要工艺设备驱动装置应分别列出。</w:t>
            </w:r>
          </w:p>
        </w:tc>
      </w:tr>
      <w:tr w14:paraId="576F3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" w:type="pct"/>
            <w:vAlign w:val="center"/>
          </w:tcPr>
          <w:p w14:paraId="41558D73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1" w:type="pct"/>
            <w:vAlign w:val="center"/>
          </w:tcPr>
          <w:p w14:paraId="6BF7AAE1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高压电缆</w:t>
            </w:r>
          </w:p>
          <w:p w14:paraId="42E8366A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耐压试验</w:t>
            </w:r>
          </w:p>
        </w:tc>
        <w:tc>
          <w:tcPr>
            <w:tcW w:w="2736" w:type="pct"/>
            <w:vAlign w:val="center"/>
          </w:tcPr>
          <w:p w14:paraId="1BB12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系统及规格：    </w:t>
            </w:r>
          </w:p>
          <w:p w14:paraId="5A464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试验方法：</w:t>
            </w:r>
          </w:p>
          <w:p w14:paraId="6AEA1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试验设备：</w:t>
            </w:r>
          </w:p>
          <w:p w14:paraId="39331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试验设备校验：</w:t>
            </w:r>
          </w:p>
          <w:p w14:paraId="144CF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试验结果：</w:t>
            </w:r>
          </w:p>
          <w:p w14:paraId="27481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143" w:type="pct"/>
            <w:vAlign w:val="center"/>
          </w:tcPr>
          <w:p w14:paraId="1AFB2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【要求】应按不同工艺设备系统分别列明。</w:t>
            </w:r>
          </w:p>
        </w:tc>
      </w:tr>
      <w:tr w14:paraId="10BC1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" w:type="pct"/>
            <w:vAlign w:val="center"/>
          </w:tcPr>
          <w:p w14:paraId="6F16AFA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1" w:type="pct"/>
            <w:vAlign w:val="center"/>
          </w:tcPr>
          <w:p w14:paraId="2A703611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成套配电柜（箱、盘）二次回路交流工频耐压试验</w:t>
            </w:r>
          </w:p>
        </w:tc>
        <w:tc>
          <w:tcPr>
            <w:tcW w:w="2736" w:type="pct"/>
            <w:vAlign w:val="center"/>
          </w:tcPr>
          <w:p w14:paraId="44DE0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成套配电柜（箱、盘）数量：    台</w:t>
            </w:r>
          </w:p>
          <w:p w14:paraId="1CCA4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试验方法：</w:t>
            </w:r>
          </w:p>
          <w:p w14:paraId="42F27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试验设备：</w:t>
            </w:r>
          </w:p>
          <w:p w14:paraId="1FC3C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试验设备校验：</w:t>
            </w:r>
          </w:p>
          <w:p w14:paraId="3A03B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试验结果：</w:t>
            </w:r>
          </w:p>
          <w:p w14:paraId="2BA84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143" w:type="pct"/>
            <w:vAlign w:val="center"/>
          </w:tcPr>
          <w:p w14:paraId="1ACA9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Cs w:val="21"/>
              </w:rPr>
              <w:t>【要求】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同上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10D91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" w:type="pct"/>
            <w:vAlign w:val="center"/>
          </w:tcPr>
          <w:p w14:paraId="5A374D6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01" w:type="pct"/>
            <w:vAlign w:val="center"/>
          </w:tcPr>
          <w:p w14:paraId="30F4A5EF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驱动马达</w:t>
            </w:r>
          </w:p>
          <w:p w14:paraId="755B9352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单机试运转</w:t>
            </w:r>
          </w:p>
        </w:tc>
        <w:tc>
          <w:tcPr>
            <w:tcW w:w="2736" w:type="pct"/>
            <w:vAlign w:val="center"/>
          </w:tcPr>
          <w:p w14:paraId="41718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              h</w:t>
            </w:r>
          </w:p>
          <w:p w14:paraId="5C73D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试验情况：</w:t>
            </w:r>
          </w:p>
          <w:p w14:paraId="75DE4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143" w:type="pct"/>
            <w:vAlign w:val="center"/>
          </w:tcPr>
          <w:p w14:paraId="5F67A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【要求】应按主要工艺设备名称进行填录。</w:t>
            </w:r>
          </w:p>
        </w:tc>
      </w:tr>
      <w:tr w14:paraId="11A3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" w:type="pct"/>
            <w:vAlign w:val="center"/>
          </w:tcPr>
          <w:p w14:paraId="66CECE5D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01" w:type="pct"/>
            <w:vAlign w:val="center"/>
          </w:tcPr>
          <w:p w14:paraId="7301DBAE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仪表系统调试</w:t>
            </w:r>
          </w:p>
        </w:tc>
        <w:tc>
          <w:tcPr>
            <w:tcW w:w="2736" w:type="pct"/>
            <w:vAlign w:val="center"/>
          </w:tcPr>
          <w:p w14:paraId="65C1B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系统功能：</w:t>
            </w:r>
          </w:p>
          <w:p w14:paraId="2627D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试验情况：</w:t>
            </w:r>
          </w:p>
          <w:p w14:paraId="037B4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143" w:type="pct"/>
            <w:vAlign w:val="center"/>
          </w:tcPr>
          <w:p w14:paraId="205D3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【要求】应按主工艺设备、不同仪表系统进行填写。</w:t>
            </w:r>
          </w:p>
        </w:tc>
      </w:tr>
      <w:tr w14:paraId="525AD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" w:type="pct"/>
            <w:vAlign w:val="center"/>
          </w:tcPr>
          <w:p w14:paraId="6528228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01" w:type="pct"/>
            <w:vAlign w:val="center"/>
          </w:tcPr>
          <w:p w14:paraId="3741FCC7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竖井、管线防火和防火封堵</w:t>
            </w:r>
          </w:p>
        </w:tc>
        <w:tc>
          <w:tcPr>
            <w:tcW w:w="2736" w:type="pct"/>
          </w:tcPr>
          <w:p w14:paraId="53470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防火封堵部位：</w:t>
            </w:r>
          </w:p>
          <w:p w14:paraId="27437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防火封堵技术措施及材料：</w:t>
            </w:r>
          </w:p>
          <w:p w14:paraId="7E06C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防火封堵数量：</w:t>
            </w:r>
          </w:p>
          <w:p w14:paraId="4DF7BA8D">
            <w:pPr>
              <w:keepNext w:val="0"/>
              <w:keepLines w:val="0"/>
              <w:pageBreakBefore w:val="0"/>
              <w:widowControl w:val="0"/>
              <w:tabs>
                <w:tab w:val="left" w:pos="7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143" w:type="pct"/>
            <w:vAlign w:val="center"/>
          </w:tcPr>
          <w:p w14:paraId="64441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left"/>
              <w:textAlignment w:val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【要求】变配电室、主电气室应逐一填写。</w:t>
            </w:r>
          </w:p>
        </w:tc>
      </w:tr>
      <w:tr w14:paraId="58C79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420" w:type="pct"/>
            <w:vAlign w:val="center"/>
          </w:tcPr>
          <w:p w14:paraId="2C6B1942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1" w:type="pct"/>
            <w:vAlign w:val="center"/>
          </w:tcPr>
          <w:p w14:paraId="714AACB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供配电设计电气照明系统</w:t>
            </w:r>
          </w:p>
        </w:tc>
        <w:tc>
          <w:tcPr>
            <w:tcW w:w="2736" w:type="pct"/>
          </w:tcPr>
          <w:p w14:paraId="240C511F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照明灯具数量：</w:t>
            </w:r>
          </w:p>
          <w:p w14:paraId="6546FAA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供电类型及电压等级：</w:t>
            </w:r>
          </w:p>
          <w:p w14:paraId="6370955B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灯具安装高度：</w:t>
            </w:r>
          </w:p>
          <w:p w14:paraId="3AD4EF3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剩余电流动作保护电器类型：</w:t>
            </w:r>
          </w:p>
          <w:p w14:paraId="7726D46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保护电器运行情况：</w:t>
            </w:r>
          </w:p>
          <w:p w14:paraId="4A1BE84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143" w:type="pct"/>
            <w:vAlign w:val="center"/>
          </w:tcPr>
          <w:p w14:paraId="20486DBE">
            <w:pPr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【要求】变配电室、主电气室应逐一填写。</w:t>
            </w:r>
          </w:p>
        </w:tc>
      </w:tr>
      <w:tr w14:paraId="49A7B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420" w:type="pct"/>
            <w:vAlign w:val="center"/>
          </w:tcPr>
          <w:p w14:paraId="4188D54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701" w:type="pct"/>
            <w:vAlign w:val="center"/>
          </w:tcPr>
          <w:p w14:paraId="68A3B19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供配电设计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低压电击防护</w:t>
            </w:r>
          </w:p>
        </w:tc>
        <w:tc>
          <w:tcPr>
            <w:tcW w:w="2736" w:type="pct"/>
          </w:tcPr>
          <w:p w14:paraId="5069F8C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电源插座回路额定电流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5DF74DA5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室内移动电气设备额定电流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50CB2D8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人员可触及的室外电气设备额定电流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5FD48C7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上述部位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采用剩余电流动作保护电器：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否</w:t>
            </w:r>
          </w:p>
          <w:p w14:paraId="7FE428A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143" w:type="pct"/>
            <w:vAlign w:val="center"/>
          </w:tcPr>
          <w:p w14:paraId="11B52BE5">
            <w:pPr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【要求】变配电室、主电气室应逐一填写。</w:t>
            </w:r>
          </w:p>
        </w:tc>
      </w:tr>
      <w:tr w14:paraId="4792D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420" w:type="pct"/>
            <w:vAlign w:val="center"/>
          </w:tcPr>
          <w:p w14:paraId="1B694744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01" w:type="pct"/>
            <w:vAlign w:val="center"/>
          </w:tcPr>
          <w:p w14:paraId="08C4ADF4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防雷与接地设计</w:t>
            </w:r>
          </w:p>
        </w:tc>
        <w:tc>
          <w:tcPr>
            <w:tcW w:w="2736" w:type="pct"/>
          </w:tcPr>
          <w:p w14:paraId="262A46DB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利用建筑物基础作为接地装置：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否</w:t>
            </w:r>
          </w:p>
          <w:p w14:paraId="62490E1F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外接导体材质：</w:t>
            </w:r>
          </w:p>
          <w:p w14:paraId="4474770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接地电阻实测值：     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Ω</w:t>
            </w:r>
          </w:p>
          <w:p w14:paraId="5185B125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143" w:type="pct"/>
            <w:vAlign w:val="center"/>
          </w:tcPr>
          <w:p w14:paraId="28F8C81A">
            <w:pPr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【要求】变配电室、主电气室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逐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一填写。</w:t>
            </w:r>
          </w:p>
        </w:tc>
      </w:tr>
      <w:tr w14:paraId="03C75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420" w:type="pct"/>
            <w:vAlign w:val="center"/>
          </w:tcPr>
          <w:p w14:paraId="6CCD5854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01" w:type="pct"/>
            <w:vAlign w:val="center"/>
          </w:tcPr>
          <w:p w14:paraId="3F2E446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火灾自动报警系统</w:t>
            </w:r>
          </w:p>
        </w:tc>
        <w:tc>
          <w:tcPr>
            <w:tcW w:w="2736" w:type="pct"/>
          </w:tcPr>
          <w:p w14:paraId="2EE9183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火灾报警类型：</w:t>
            </w:r>
          </w:p>
          <w:p w14:paraId="63DB55A2">
            <w:pPr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报警设备通信兼容性：</w:t>
            </w:r>
          </w:p>
          <w:p w14:paraId="6F28EEE9">
            <w:pPr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火灾报警区域划分：</w:t>
            </w:r>
          </w:p>
          <w:p w14:paraId="5061AF9B">
            <w:pPr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总线短路隔离器：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bdr w:val="single" w:color="auto" w:sz="4" w:space="0"/>
                <w:lang w:eastAsia="zh-CN"/>
              </w:rPr>
              <w:t>否</w:t>
            </w:r>
          </w:p>
          <w:p w14:paraId="71158BD1">
            <w:pPr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每只总线短路隔离器的按钮或模块等设备总数：</w:t>
            </w:r>
          </w:p>
          <w:p w14:paraId="66B80AF7">
            <w:pPr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手动报警按钮设置情况：</w:t>
            </w:r>
          </w:p>
          <w:p w14:paraId="471E70B8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电气火灾监控系统组成情况：</w:t>
            </w:r>
          </w:p>
          <w:p w14:paraId="4DA52117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火灾自动报警系统电压种类及布线：</w:t>
            </w:r>
          </w:p>
          <w:p w14:paraId="266C5480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火灾自动报警系统供电/控制线缆规格及材质：</w:t>
            </w:r>
          </w:p>
          <w:p w14:paraId="06AC519F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控制与显示类设备的主电源连接方式：</w:t>
            </w:r>
          </w:p>
        </w:tc>
        <w:tc>
          <w:tcPr>
            <w:tcW w:w="1143" w:type="pct"/>
            <w:vAlign w:val="center"/>
          </w:tcPr>
          <w:p w14:paraId="72FEF5A2">
            <w:pPr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【要求】变配电室、主电气室应逐一填写。</w:t>
            </w:r>
          </w:p>
        </w:tc>
      </w:tr>
      <w:tr w14:paraId="51CB5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pct"/>
            <w:gridSpan w:val="2"/>
            <w:vAlign w:val="center"/>
          </w:tcPr>
          <w:p w14:paraId="52478C5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3879" w:type="pct"/>
            <w:gridSpan w:val="2"/>
            <w:vAlign w:val="center"/>
          </w:tcPr>
          <w:p w14:paraId="24DF8EED">
            <w:pPr>
              <w:spacing w:before="156" w:beforeLines="50" w:line="36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7BF4DFF1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查结果：上表所列重要信息及数据本工程共涉及    项，经核查全部真实有效 □ ；经核查缺少    项 □；经核查    项数据不真实。</w:t>
            </w:r>
          </w:p>
          <w:p w14:paraId="32DFD58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2C2E957E">
            <w:pPr>
              <w:spacing w:line="48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4D478641">
            <w:pPr>
              <w:spacing w:line="36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138A36C5">
            <w:pPr>
              <w:spacing w:after="156" w:afterLines="50"/>
              <w:jc w:val="righ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年    月    日</w:t>
            </w:r>
          </w:p>
        </w:tc>
      </w:tr>
    </w:tbl>
    <w:p w14:paraId="37A54D46">
      <w:pPr>
        <w:widowControl/>
        <w:jc w:val="left"/>
        <w:rPr>
          <w:rFonts w:eastAsia="黑体"/>
          <w:kern w:val="0"/>
          <w:sz w:val="24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7" w:h="16160"/>
      <w:pgMar w:top="1418" w:right="1418" w:bottom="1418" w:left="1814" w:header="113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4DFD8">
    <w:pPr>
      <w:pStyle w:val="15"/>
      <w:jc w:val="center"/>
    </w:pPr>
    <w:r>
      <w:rPr>
        <w:rStyle w:val="29"/>
        <w:rFonts w:hint="eastAsia" w:ascii="宋体" w:hAnsi="宋体"/>
        <w:sz w:val="22"/>
        <w:szCs w:val="22"/>
      </w:rPr>
      <w:t>·</w:t>
    </w:r>
    <w:r>
      <w:rPr>
        <w:rStyle w:val="29"/>
        <w:sz w:val="22"/>
        <w:szCs w:val="22"/>
      </w:rPr>
      <w:fldChar w:fldCharType="begin"/>
    </w:r>
    <w:r>
      <w:rPr>
        <w:rStyle w:val="29"/>
        <w:sz w:val="22"/>
        <w:szCs w:val="22"/>
      </w:rPr>
      <w:instrText xml:space="preserve">PAGE  </w:instrText>
    </w:r>
    <w:r>
      <w:rPr>
        <w:rStyle w:val="29"/>
        <w:sz w:val="22"/>
        <w:szCs w:val="22"/>
      </w:rPr>
      <w:fldChar w:fldCharType="separate"/>
    </w:r>
    <w:r>
      <w:rPr>
        <w:rStyle w:val="29"/>
        <w:sz w:val="22"/>
        <w:szCs w:val="22"/>
      </w:rPr>
      <w:t>69</w:t>
    </w:r>
    <w:r>
      <w:rPr>
        <w:rStyle w:val="29"/>
        <w:sz w:val="22"/>
        <w:szCs w:val="22"/>
      </w:rPr>
      <w:fldChar w:fldCharType="end"/>
    </w:r>
    <w:r>
      <w:rPr>
        <w:rStyle w:val="29"/>
        <w:rFonts w:hint="eastAsia" w:ascii="宋体" w:hAnsi="宋体"/>
        <w:sz w:val="22"/>
        <w:szCs w:val="22"/>
      </w:rPr>
      <w:t>·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4E455">
    <w:pPr>
      <w:pStyle w:val="15"/>
      <w:jc w:val="center"/>
    </w:pPr>
    <w:r>
      <w:rPr>
        <w:rStyle w:val="29"/>
        <w:rFonts w:hint="eastAsia" w:ascii="宋体" w:hAnsi="宋体"/>
        <w:sz w:val="22"/>
        <w:szCs w:val="22"/>
      </w:rPr>
      <w:t>·</w:t>
    </w:r>
    <w:r>
      <w:rPr>
        <w:rStyle w:val="29"/>
        <w:sz w:val="22"/>
        <w:szCs w:val="22"/>
      </w:rPr>
      <w:fldChar w:fldCharType="begin"/>
    </w:r>
    <w:r>
      <w:rPr>
        <w:rStyle w:val="29"/>
        <w:sz w:val="22"/>
        <w:szCs w:val="22"/>
      </w:rPr>
      <w:instrText xml:space="preserve">PAGE  </w:instrText>
    </w:r>
    <w:r>
      <w:rPr>
        <w:rStyle w:val="29"/>
        <w:sz w:val="22"/>
        <w:szCs w:val="22"/>
      </w:rPr>
      <w:fldChar w:fldCharType="separate"/>
    </w:r>
    <w:r>
      <w:rPr>
        <w:rStyle w:val="29"/>
        <w:sz w:val="22"/>
        <w:szCs w:val="22"/>
      </w:rPr>
      <w:t>14</w:t>
    </w:r>
    <w:r>
      <w:rPr>
        <w:rStyle w:val="29"/>
        <w:sz w:val="22"/>
        <w:szCs w:val="22"/>
      </w:rPr>
      <w:fldChar w:fldCharType="end"/>
    </w:r>
    <w:r>
      <w:rPr>
        <w:rStyle w:val="29"/>
        <w:rFonts w:hint="eastAsia" w:ascii="宋体" w:hAnsi="宋体"/>
        <w:sz w:val="22"/>
        <w:szCs w:val="22"/>
      </w:rPr>
      <w:t>·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EBFFF">
    <w:pPr>
      <w:pStyle w:val="16"/>
      <w:adjustRightInd w:val="0"/>
      <w:spacing w:line="240" w:lineRule="atLeast"/>
      <w:jc w:val="right"/>
      <w:textAlignment w:val="baseline"/>
      <w:rPr>
        <w:rFonts w:ascii="楷体_GB2312" w:hAnsi="Calibri" w:eastAsia="楷体_GB2312"/>
        <w:color w:val="808080"/>
        <w:sz w:val="28"/>
        <w:szCs w:val="28"/>
      </w:rPr>
    </w:pPr>
    <w:r>
      <w:rPr>
        <w:rFonts w:hint="eastAsia" w:ascii="楷体_GB2312" w:hAnsi="Calibri" w:eastAsia="楷体_GB2312"/>
        <w:color w:val="808080"/>
        <w:sz w:val="28"/>
        <w:szCs w:val="28"/>
      </w:rPr>
      <w:t>冶金工程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9E68D">
    <w:pPr>
      <w:pStyle w:val="16"/>
      <w:adjustRightInd w:val="0"/>
      <w:spacing w:line="240" w:lineRule="atLeast"/>
      <w:jc w:val="left"/>
      <w:textAlignment w:val="baseline"/>
      <w:rPr>
        <w:rFonts w:ascii="楷体_GB2312" w:hAnsi="Calibri" w:eastAsia="楷体_GB2312"/>
        <w:color w:val="808080"/>
        <w:sz w:val="28"/>
        <w:szCs w:val="28"/>
      </w:rPr>
    </w:pPr>
    <w:r>
      <w:rPr>
        <w:rFonts w:hint="eastAsia" w:ascii="楷体_GB2312" w:hAnsi="Calibri" w:eastAsia="楷体_GB2312"/>
        <w:color w:val="808080"/>
        <w:sz w:val="28"/>
        <w:szCs w:val="28"/>
      </w:rPr>
      <w:t>冶金工程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 w:cs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62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568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168"/>
    <w:rsid w:val="00003D64"/>
    <w:rsid w:val="00007399"/>
    <w:rsid w:val="00014202"/>
    <w:rsid w:val="00015A93"/>
    <w:rsid w:val="00024515"/>
    <w:rsid w:val="000261A0"/>
    <w:rsid w:val="0003078E"/>
    <w:rsid w:val="0003555D"/>
    <w:rsid w:val="00041978"/>
    <w:rsid w:val="000429CB"/>
    <w:rsid w:val="00044BD3"/>
    <w:rsid w:val="000609E0"/>
    <w:rsid w:val="00060D3C"/>
    <w:rsid w:val="0006777D"/>
    <w:rsid w:val="00073258"/>
    <w:rsid w:val="00087024"/>
    <w:rsid w:val="000878D1"/>
    <w:rsid w:val="000A514F"/>
    <w:rsid w:val="000A6756"/>
    <w:rsid w:val="000B1DC2"/>
    <w:rsid w:val="000B3EE7"/>
    <w:rsid w:val="000C1EF2"/>
    <w:rsid w:val="000C5CC3"/>
    <w:rsid w:val="000C7958"/>
    <w:rsid w:val="000D3B55"/>
    <w:rsid w:val="000D3D63"/>
    <w:rsid w:val="000D67A3"/>
    <w:rsid w:val="000E13AF"/>
    <w:rsid w:val="000E1D83"/>
    <w:rsid w:val="000E6538"/>
    <w:rsid w:val="000F53FE"/>
    <w:rsid w:val="000F563D"/>
    <w:rsid w:val="001037DC"/>
    <w:rsid w:val="0011190C"/>
    <w:rsid w:val="00121504"/>
    <w:rsid w:val="00127E7F"/>
    <w:rsid w:val="00134C56"/>
    <w:rsid w:val="00142ED8"/>
    <w:rsid w:val="001557C4"/>
    <w:rsid w:val="00155AE1"/>
    <w:rsid w:val="00164476"/>
    <w:rsid w:val="001664C8"/>
    <w:rsid w:val="00170224"/>
    <w:rsid w:val="00173B8A"/>
    <w:rsid w:val="0017620F"/>
    <w:rsid w:val="00192E1E"/>
    <w:rsid w:val="00196063"/>
    <w:rsid w:val="0019651A"/>
    <w:rsid w:val="00196B65"/>
    <w:rsid w:val="00197E97"/>
    <w:rsid w:val="001A3D59"/>
    <w:rsid w:val="001A41E7"/>
    <w:rsid w:val="001B2534"/>
    <w:rsid w:val="001C0586"/>
    <w:rsid w:val="001C0D47"/>
    <w:rsid w:val="001C4B96"/>
    <w:rsid w:val="001D2416"/>
    <w:rsid w:val="001D3E03"/>
    <w:rsid w:val="001E1BE7"/>
    <w:rsid w:val="001E3050"/>
    <w:rsid w:val="001F08DF"/>
    <w:rsid w:val="002115CD"/>
    <w:rsid w:val="0021270C"/>
    <w:rsid w:val="00217A2D"/>
    <w:rsid w:val="00217D60"/>
    <w:rsid w:val="00220B90"/>
    <w:rsid w:val="00242D0A"/>
    <w:rsid w:val="002523EC"/>
    <w:rsid w:val="002533AF"/>
    <w:rsid w:val="00255089"/>
    <w:rsid w:val="00264803"/>
    <w:rsid w:val="0027446B"/>
    <w:rsid w:val="00290F95"/>
    <w:rsid w:val="0029598F"/>
    <w:rsid w:val="002960C0"/>
    <w:rsid w:val="002A1F44"/>
    <w:rsid w:val="002C198C"/>
    <w:rsid w:val="002D2CEE"/>
    <w:rsid w:val="002D69CD"/>
    <w:rsid w:val="002E240A"/>
    <w:rsid w:val="002E47D8"/>
    <w:rsid w:val="002E4A03"/>
    <w:rsid w:val="002E7653"/>
    <w:rsid w:val="002F02E4"/>
    <w:rsid w:val="002F31C0"/>
    <w:rsid w:val="002F447E"/>
    <w:rsid w:val="00301B7B"/>
    <w:rsid w:val="00310A5F"/>
    <w:rsid w:val="00326B7D"/>
    <w:rsid w:val="00335543"/>
    <w:rsid w:val="003432E9"/>
    <w:rsid w:val="0035343D"/>
    <w:rsid w:val="00360F43"/>
    <w:rsid w:val="0036693F"/>
    <w:rsid w:val="00375AA0"/>
    <w:rsid w:val="00383072"/>
    <w:rsid w:val="00395DEC"/>
    <w:rsid w:val="003A58BA"/>
    <w:rsid w:val="003A5983"/>
    <w:rsid w:val="003B332C"/>
    <w:rsid w:val="003B6AC2"/>
    <w:rsid w:val="003C0FF5"/>
    <w:rsid w:val="003C3C0A"/>
    <w:rsid w:val="003D021D"/>
    <w:rsid w:val="003D0E54"/>
    <w:rsid w:val="003D2DA3"/>
    <w:rsid w:val="003D52D3"/>
    <w:rsid w:val="003E1B1A"/>
    <w:rsid w:val="003E24D1"/>
    <w:rsid w:val="003E2766"/>
    <w:rsid w:val="003F69D6"/>
    <w:rsid w:val="00405991"/>
    <w:rsid w:val="004071BD"/>
    <w:rsid w:val="00413162"/>
    <w:rsid w:val="0041428D"/>
    <w:rsid w:val="00416773"/>
    <w:rsid w:val="004229AF"/>
    <w:rsid w:val="00425D61"/>
    <w:rsid w:val="00431C4D"/>
    <w:rsid w:val="00435C49"/>
    <w:rsid w:val="00441C5B"/>
    <w:rsid w:val="0044268B"/>
    <w:rsid w:val="0044581C"/>
    <w:rsid w:val="0044612E"/>
    <w:rsid w:val="00446C22"/>
    <w:rsid w:val="00455D48"/>
    <w:rsid w:val="0046286D"/>
    <w:rsid w:val="00462DC7"/>
    <w:rsid w:val="00463A1C"/>
    <w:rsid w:val="00467438"/>
    <w:rsid w:val="004827CF"/>
    <w:rsid w:val="00485F65"/>
    <w:rsid w:val="00490546"/>
    <w:rsid w:val="004919F1"/>
    <w:rsid w:val="00493CA4"/>
    <w:rsid w:val="00493D1F"/>
    <w:rsid w:val="004B2EC8"/>
    <w:rsid w:val="004C2854"/>
    <w:rsid w:val="004C796C"/>
    <w:rsid w:val="004D0EBF"/>
    <w:rsid w:val="004E48D2"/>
    <w:rsid w:val="004E5615"/>
    <w:rsid w:val="004F0B46"/>
    <w:rsid w:val="004F14E0"/>
    <w:rsid w:val="005014CC"/>
    <w:rsid w:val="00513E37"/>
    <w:rsid w:val="00514E5C"/>
    <w:rsid w:val="00520F44"/>
    <w:rsid w:val="0052491A"/>
    <w:rsid w:val="0052667D"/>
    <w:rsid w:val="0053221F"/>
    <w:rsid w:val="0053558A"/>
    <w:rsid w:val="00540164"/>
    <w:rsid w:val="00543F1B"/>
    <w:rsid w:val="0056308D"/>
    <w:rsid w:val="00564C6D"/>
    <w:rsid w:val="005672D6"/>
    <w:rsid w:val="005675DF"/>
    <w:rsid w:val="00571628"/>
    <w:rsid w:val="00574168"/>
    <w:rsid w:val="00575645"/>
    <w:rsid w:val="0057782C"/>
    <w:rsid w:val="00582B21"/>
    <w:rsid w:val="00595E7E"/>
    <w:rsid w:val="00596F94"/>
    <w:rsid w:val="005A2372"/>
    <w:rsid w:val="005B23FD"/>
    <w:rsid w:val="005B6F2C"/>
    <w:rsid w:val="005C244F"/>
    <w:rsid w:val="005C4158"/>
    <w:rsid w:val="005C50A3"/>
    <w:rsid w:val="005C7B39"/>
    <w:rsid w:val="005C7F7F"/>
    <w:rsid w:val="005D4900"/>
    <w:rsid w:val="005D5735"/>
    <w:rsid w:val="00605F81"/>
    <w:rsid w:val="006062FC"/>
    <w:rsid w:val="00617B94"/>
    <w:rsid w:val="006230D2"/>
    <w:rsid w:val="006240E7"/>
    <w:rsid w:val="00625E9D"/>
    <w:rsid w:val="00637704"/>
    <w:rsid w:val="00670DF3"/>
    <w:rsid w:val="006715A8"/>
    <w:rsid w:val="00673E5B"/>
    <w:rsid w:val="0067726F"/>
    <w:rsid w:val="00680645"/>
    <w:rsid w:val="00682A56"/>
    <w:rsid w:val="00682C4E"/>
    <w:rsid w:val="006929FD"/>
    <w:rsid w:val="00693CC5"/>
    <w:rsid w:val="006972FF"/>
    <w:rsid w:val="006A56CC"/>
    <w:rsid w:val="006A5F5D"/>
    <w:rsid w:val="006A5F7B"/>
    <w:rsid w:val="006A72DA"/>
    <w:rsid w:val="006D301D"/>
    <w:rsid w:val="006D507B"/>
    <w:rsid w:val="006D523D"/>
    <w:rsid w:val="006E4560"/>
    <w:rsid w:val="006F2442"/>
    <w:rsid w:val="00701C46"/>
    <w:rsid w:val="00706EBE"/>
    <w:rsid w:val="00712DC0"/>
    <w:rsid w:val="00722177"/>
    <w:rsid w:val="007230F1"/>
    <w:rsid w:val="00725E58"/>
    <w:rsid w:val="00731EF2"/>
    <w:rsid w:val="00773961"/>
    <w:rsid w:val="0077653F"/>
    <w:rsid w:val="00781D6B"/>
    <w:rsid w:val="007939B0"/>
    <w:rsid w:val="007A0AAB"/>
    <w:rsid w:val="007B13F6"/>
    <w:rsid w:val="007B3B00"/>
    <w:rsid w:val="007B5FC3"/>
    <w:rsid w:val="007B7EFA"/>
    <w:rsid w:val="007D1E98"/>
    <w:rsid w:val="007D2281"/>
    <w:rsid w:val="007D4698"/>
    <w:rsid w:val="007E39DF"/>
    <w:rsid w:val="007E5F9B"/>
    <w:rsid w:val="007E79CC"/>
    <w:rsid w:val="007E7D17"/>
    <w:rsid w:val="007F115B"/>
    <w:rsid w:val="007F2439"/>
    <w:rsid w:val="007F64E7"/>
    <w:rsid w:val="008134BB"/>
    <w:rsid w:val="00814E96"/>
    <w:rsid w:val="00821ECE"/>
    <w:rsid w:val="0082467F"/>
    <w:rsid w:val="00826646"/>
    <w:rsid w:val="00834B15"/>
    <w:rsid w:val="008461E1"/>
    <w:rsid w:val="00856437"/>
    <w:rsid w:val="00857A90"/>
    <w:rsid w:val="00862409"/>
    <w:rsid w:val="008634B3"/>
    <w:rsid w:val="00866AC1"/>
    <w:rsid w:val="008704EB"/>
    <w:rsid w:val="00874641"/>
    <w:rsid w:val="00875A1B"/>
    <w:rsid w:val="00877988"/>
    <w:rsid w:val="00891F51"/>
    <w:rsid w:val="00892960"/>
    <w:rsid w:val="00897263"/>
    <w:rsid w:val="008A2EDA"/>
    <w:rsid w:val="008A3218"/>
    <w:rsid w:val="008A3300"/>
    <w:rsid w:val="008A4C73"/>
    <w:rsid w:val="008B177C"/>
    <w:rsid w:val="008B385A"/>
    <w:rsid w:val="008B3A3B"/>
    <w:rsid w:val="008B4EE6"/>
    <w:rsid w:val="008B5245"/>
    <w:rsid w:val="008C06E1"/>
    <w:rsid w:val="008C0A28"/>
    <w:rsid w:val="008C0C1C"/>
    <w:rsid w:val="008C6BEE"/>
    <w:rsid w:val="008C7CD4"/>
    <w:rsid w:val="008D15BF"/>
    <w:rsid w:val="008D7A28"/>
    <w:rsid w:val="008E3954"/>
    <w:rsid w:val="008F556D"/>
    <w:rsid w:val="00904885"/>
    <w:rsid w:val="0091645D"/>
    <w:rsid w:val="00921CBB"/>
    <w:rsid w:val="00921EAE"/>
    <w:rsid w:val="00931886"/>
    <w:rsid w:val="00940F4D"/>
    <w:rsid w:val="00941A80"/>
    <w:rsid w:val="00944412"/>
    <w:rsid w:val="00955F30"/>
    <w:rsid w:val="0096693C"/>
    <w:rsid w:val="00971A09"/>
    <w:rsid w:val="00973EEE"/>
    <w:rsid w:val="00975857"/>
    <w:rsid w:val="0097608C"/>
    <w:rsid w:val="009840F4"/>
    <w:rsid w:val="00990B5B"/>
    <w:rsid w:val="009A3F08"/>
    <w:rsid w:val="009B09B7"/>
    <w:rsid w:val="009B29CC"/>
    <w:rsid w:val="009B3C01"/>
    <w:rsid w:val="009B507A"/>
    <w:rsid w:val="009C2F2D"/>
    <w:rsid w:val="009C2F6B"/>
    <w:rsid w:val="009C3DE5"/>
    <w:rsid w:val="009C65A3"/>
    <w:rsid w:val="009D44B2"/>
    <w:rsid w:val="009E2BE7"/>
    <w:rsid w:val="009E2C51"/>
    <w:rsid w:val="009E5A27"/>
    <w:rsid w:val="00A00505"/>
    <w:rsid w:val="00A01116"/>
    <w:rsid w:val="00A11ACA"/>
    <w:rsid w:val="00A15B42"/>
    <w:rsid w:val="00A2075C"/>
    <w:rsid w:val="00A2093E"/>
    <w:rsid w:val="00A24BB6"/>
    <w:rsid w:val="00A26C98"/>
    <w:rsid w:val="00A35BB8"/>
    <w:rsid w:val="00A40B6C"/>
    <w:rsid w:val="00A5259C"/>
    <w:rsid w:val="00A64584"/>
    <w:rsid w:val="00A71638"/>
    <w:rsid w:val="00A7713A"/>
    <w:rsid w:val="00A77F0B"/>
    <w:rsid w:val="00A87081"/>
    <w:rsid w:val="00AA37DF"/>
    <w:rsid w:val="00AA67AE"/>
    <w:rsid w:val="00AA7484"/>
    <w:rsid w:val="00AC08A2"/>
    <w:rsid w:val="00AD0E03"/>
    <w:rsid w:val="00AD1443"/>
    <w:rsid w:val="00AD3A7F"/>
    <w:rsid w:val="00AE04EE"/>
    <w:rsid w:val="00AE5BF4"/>
    <w:rsid w:val="00AF0319"/>
    <w:rsid w:val="00AF13E2"/>
    <w:rsid w:val="00AF71C6"/>
    <w:rsid w:val="00B15A1A"/>
    <w:rsid w:val="00B17148"/>
    <w:rsid w:val="00B22137"/>
    <w:rsid w:val="00B25913"/>
    <w:rsid w:val="00B2593B"/>
    <w:rsid w:val="00B468F9"/>
    <w:rsid w:val="00B51958"/>
    <w:rsid w:val="00B577D4"/>
    <w:rsid w:val="00B6352D"/>
    <w:rsid w:val="00B704F6"/>
    <w:rsid w:val="00B711B6"/>
    <w:rsid w:val="00B730A6"/>
    <w:rsid w:val="00B75E17"/>
    <w:rsid w:val="00B81EBC"/>
    <w:rsid w:val="00B83FEF"/>
    <w:rsid w:val="00B96DD4"/>
    <w:rsid w:val="00BA669D"/>
    <w:rsid w:val="00BB168E"/>
    <w:rsid w:val="00BB1AAA"/>
    <w:rsid w:val="00BB2750"/>
    <w:rsid w:val="00BB4DBD"/>
    <w:rsid w:val="00BD04BF"/>
    <w:rsid w:val="00BD677D"/>
    <w:rsid w:val="00BE3E89"/>
    <w:rsid w:val="00C053CC"/>
    <w:rsid w:val="00C15549"/>
    <w:rsid w:val="00C17EFB"/>
    <w:rsid w:val="00C32F33"/>
    <w:rsid w:val="00C367E1"/>
    <w:rsid w:val="00C37442"/>
    <w:rsid w:val="00C376D7"/>
    <w:rsid w:val="00C45509"/>
    <w:rsid w:val="00C4754B"/>
    <w:rsid w:val="00C5014A"/>
    <w:rsid w:val="00C56175"/>
    <w:rsid w:val="00C603E4"/>
    <w:rsid w:val="00C608D1"/>
    <w:rsid w:val="00C67061"/>
    <w:rsid w:val="00C67EC5"/>
    <w:rsid w:val="00C755AE"/>
    <w:rsid w:val="00C81E58"/>
    <w:rsid w:val="00C82C79"/>
    <w:rsid w:val="00C943DC"/>
    <w:rsid w:val="00CA2044"/>
    <w:rsid w:val="00CA25A2"/>
    <w:rsid w:val="00CA773C"/>
    <w:rsid w:val="00CB12EF"/>
    <w:rsid w:val="00CB4B73"/>
    <w:rsid w:val="00CC35D5"/>
    <w:rsid w:val="00CC7692"/>
    <w:rsid w:val="00CD1343"/>
    <w:rsid w:val="00CD1C0A"/>
    <w:rsid w:val="00CD267F"/>
    <w:rsid w:val="00CD3C78"/>
    <w:rsid w:val="00CD413D"/>
    <w:rsid w:val="00D04073"/>
    <w:rsid w:val="00D06124"/>
    <w:rsid w:val="00D11799"/>
    <w:rsid w:val="00D16295"/>
    <w:rsid w:val="00D4264B"/>
    <w:rsid w:val="00D47859"/>
    <w:rsid w:val="00D5082E"/>
    <w:rsid w:val="00D5616E"/>
    <w:rsid w:val="00D578BC"/>
    <w:rsid w:val="00D62A14"/>
    <w:rsid w:val="00D64FA0"/>
    <w:rsid w:val="00D73854"/>
    <w:rsid w:val="00D76007"/>
    <w:rsid w:val="00D809FC"/>
    <w:rsid w:val="00D908EF"/>
    <w:rsid w:val="00D91573"/>
    <w:rsid w:val="00D96903"/>
    <w:rsid w:val="00D96C56"/>
    <w:rsid w:val="00DA3AC2"/>
    <w:rsid w:val="00DA5C87"/>
    <w:rsid w:val="00DA678E"/>
    <w:rsid w:val="00DB0C4C"/>
    <w:rsid w:val="00DB1381"/>
    <w:rsid w:val="00DB3B9E"/>
    <w:rsid w:val="00DB61C5"/>
    <w:rsid w:val="00DB655D"/>
    <w:rsid w:val="00DC6694"/>
    <w:rsid w:val="00DF2036"/>
    <w:rsid w:val="00DF7EFD"/>
    <w:rsid w:val="00DF7F22"/>
    <w:rsid w:val="00E070D8"/>
    <w:rsid w:val="00E17604"/>
    <w:rsid w:val="00E25053"/>
    <w:rsid w:val="00E26644"/>
    <w:rsid w:val="00E32E42"/>
    <w:rsid w:val="00E437CB"/>
    <w:rsid w:val="00E460E6"/>
    <w:rsid w:val="00E5017D"/>
    <w:rsid w:val="00E52A1D"/>
    <w:rsid w:val="00E5376D"/>
    <w:rsid w:val="00E65E2B"/>
    <w:rsid w:val="00E817AC"/>
    <w:rsid w:val="00E872F3"/>
    <w:rsid w:val="00E8785C"/>
    <w:rsid w:val="00E93EDA"/>
    <w:rsid w:val="00E969DE"/>
    <w:rsid w:val="00E96D8C"/>
    <w:rsid w:val="00EA3F3D"/>
    <w:rsid w:val="00EA7486"/>
    <w:rsid w:val="00EB5507"/>
    <w:rsid w:val="00ED00C4"/>
    <w:rsid w:val="00ED1F4E"/>
    <w:rsid w:val="00ED69E0"/>
    <w:rsid w:val="00EE4F48"/>
    <w:rsid w:val="00EE5276"/>
    <w:rsid w:val="00EF0C26"/>
    <w:rsid w:val="00EF2734"/>
    <w:rsid w:val="00EF32B6"/>
    <w:rsid w:val="00EF4964"/>
    <w:rsid w:val="00F023CD"/>
    <w:rsid w:val="00F11EBD"/>
    <w:rsid w:val="00F16D7F"/>
    <w:rsid w:val="00F206B0"/>
    <w:rsid w:val="00F223F5"/>
    <w:rsid w:val="00F24AE6"/>
    <w:rsid w:val="00F26D47"/>
    <w:rsid w:val="00F55916"/>
    <w:rsid w:val="00F6081A"/>
    <w:rsid w:val="00F6609A"/>
    <w:rsid w:val="00F66960"/>
    <w:rsid w:val="00F70657"/>
    <w:rsid w:val="00F824E7"/>
    <w:rsid w:val="00F96248"/>
    <w:rsid w:val="00FA02AC"/>
    <w:rsid w:val="00FB2495"/>
    <w:rsid w:val="00FC128F"/>
    <w:rsid w:val="00FC3FA6"/>
    <w:rsid w:val="00FC63C7"/>
    <w:rsid w:val="00FC6954"/>
    <w:rsid w:val="00FD337C"/>
    <w:rsid w:val="00FD52D8"/>
    <w:rsid w:val="00FE029F"/>
    <w:rsid w:val="00FE2542"/>
    <w:rsid w:val="00FE422B"/>
    <w:rsid w:val="00FF0838"/>
    <w:rsid w:val="00FF42AA"/>
    <w:rsid w:val="00FF61D5"/>
    <w:rsid w:val="034D6BB0"/>
    <w:rsid w:val="0CF56386"/>
    <w:rsid w:val="108F25B6"/>
    <w:rsid w:val="12274A70"/>
    <w:rsid w:val="18A137CE"/>
    <w:rsid w:val="207672EF"/>
    <w:rsid w:val="264204ED"/>
    <w:rsid w:val="29564161"/>
    <w:rsid w:val="2EEE0998"/>
    <w:rsid w:val="2F3E0DA6"/>
    <w:rsid w:val="30354CF3"/>
    <w:rsid w:val="31D53C4D"/>
    <w:rsid w:val="3BD93D0F"/>
    <w:rsid w:val="3C9C5711"/>
    <w:rsid w:val="3D762284"/>
    <w:rsid w:val="44024872"/>
    <w:rsid w:val="47722E54"/>
    <w:rsid w:val="4A111CB3"/>
    <w:rsid w:val="4A250B71"/>
    <w:rsid w:val="4FF83B8A"/>
    <w:rsid w:val="535F5E37"/>
    <w:rsid w:val="56020701"/>
    <w:rsid w:val="5A216E4E"/>
    <w:rsid w:val="5B2B4256"/>
    <w:rsid w:val="5B8F3C9A"/>
    <w:rsid w:val="5BB73D3C"/>
    <w:rsid w:val="65000502"/>
    <w:rsid w:val="65584805"/>
    <w:rsid w:val="65DC4ACB"/>
    <w:rsid w:val="680D18B3"/>
    <w:rsid w:val="68BC5088"/>
    <w:rsid w:val="6D5C551F"/>
    <w:rsid w:val="70A77F6C"/>
    <w:rsid w:val="74E54B1E"/>
    <w:rsid w:val="772E35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nhideWhenUsed="0" w:uiPriority="29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2"/>
    <w:qFormat/>
    <w:uiPriority w:val="9"/>
    <w:pPr>
      <w:keepNext/>
      <w:keepLines/>
      <w:spacing w:beforeLines="100" w:afterLines="100" w:line="600" w:lineRule="exact"/>
      <w:jc w:val="center"/>
      <w:outlineLvl w:val="0"/>
    </w:pPr>
    <w:rPr>
      <w:rFonts w:eastAsia="方正小标宋简体"/>
      <w:kern w:val="44"/>
      <w:sz w:val="36"/>
      <w:szCs w:val="44"/>
    </w:rPr>
  </w:style>
  <w:style w:type="paragraph" w:styleId="3">
    <w:name w:val="heading 2"/>
    <w:basedOn w:val="1"/>
    <w:next w:val="1"/>
    <w:link w:val="84"/>
    <w:qFormat/>
    <w:uiPriority w:val="9"/>
    <w:pPr>
      <w:keepNext/>
      <w:keepLines/>
      <w:adjustRightInd w:val="0"/>
      <w:snapToGrid w:val="0"/>
      <w:spacing w:line="600" w:lineRule="exact"/>
      <w:ind w:firstLine="200" w:firstLineChars="200"/>
      <w:outlineLvl w:val="1"/>
    </w:pPr>
    <w:rPr>
      <w:rFonts w:ascii="楷体_GB2312" w:hAnsi="楷体_GB2312" w:eastAsia="楷体_GB2312"/>
      <w:bCs/>
      <w:sz w:val="32"/>
      <w:szCs w:val="32"/>
    </w:rPr>
  </w:style>
  <w:style w:type="paragraph" w:styleId="4">
    <w:name w:val="heading 3"/>
    <w:basedOn w:val="1"/>
    <w:next w:val="1"/>
    <w:link w:val="86"/>
    <w:qFormat/>
    <w:uiPriority w:val="9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78"/>
    <w:qFormat/>
    <w:uiPriority w:val="9"/>
    <w:pPr>
      <w:keepNext/>
      <w:keepLines/>
      <w:spacing w:beforeLines="100" w:afterLines="100" w:line="580" w:lineRule="exact"/>
      <w:jc w:val="center"/>
      <w:outlineLvl w:val="3"/>
    </w:pPr>
    <w:rPr>
      <w:rFonts w:ascii="黑体" w:hAnsi="黑体" w:eastAsia="黑体"/>
      <w:bCs/>
      <w:kern w:val="0"/>
      <w:sz w:val="30"/>
      <w:szCs w:val="28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92"/>
    <w:qFormat/>
    <w:uiPriority w:val="0"/>
    <w:pPr>
      <w:shd w:val="clear" w:color="auto" w:fill="000080"/>
    </w:pPr>
  </w:style>
  <w:style w:type="paragraph" w:styleId="7">
    <w:name w:val="annotation text"/>
    <w:basedOn w:val="1"/>
    <w:link w:val="45"/>
    <w:qFormat/>
    <w:uiPriority w:val="99"/>
    <w:pPr>
      <w:jc w:val="left"/>
    </w:pPr>
  </w:style>
  <w:style w:type="paragraph" w:styleId="8">
    <w:name w:val="Body Text 3"/>
    <w:basedOn w:val="1"/>
    <w:link w:val="98"/>
    <w:qFormat/>
    <w:uiPriority w:val="0"/>
    <w:pPr>
      <w:spacing w:before="120" w:line="360" w:lineRule="exact"/>
    </w:pPr>
    <w:rPr>
      <w:rFonts w:eastAsia="仿宋_GB2312"/>
      <w:color w:val="000000"/>
      <w:sz w:val="28"/>
    </w:rPr>
  </w:style>
  <w:style w:type="paragraph" w:styleId="9">
    <w:name w:val="Body Text"/>
    <w:basedOn w:val="1"/>
    <w:link w:val="51"/>
    <w:qFormat/>
    <w:uiPriority w:val="0"/>
    <w:pPr>
      <w:spacing w:after="120"/>
    </w:pPr>
  </w:style>
  <w:style w:type="paragraph" w:styleId="10">
    <w:name w:val="Body Text Indent"/>
    <w:basedOn w:val="1"/>
    <w:link w:val="34"/>
    <w:qFormat/>
    <w:uiPriority w:val="0"/>
    <w:pPr>
      <w:ind w:firstLine="560" w:firstLineChars="200"/>
    </w:pPr>
    <w:rPr>
      <w:sz w:val="28"/>
    </w:rPr>
  </w:style>
  <w:style w:type="paragraph" w:styleId="11">
    <w:name w:val="Plain Text"/>
    <w:basedOn w:val="1"/>
    <w:link w:val="37"/>
    <w:qFormat/>
    <w:uiPriority w:val="0"/>
    <w:rPr>
      <w:rFonts w:ascii="宋体" w:hAnsi="Courier New" w:eastAsia="仿宋_GB2312"/>
      <w:szCs w:val="20"/>
    </w:rPr>
  </w:style>
  <w:style w:type="paragraph" w:styleId="12">
    <w:name w:val="Date"/>
    <w:basedOn w:val="1"/>
    <w:next w:val="1"/>
    <w:link w:val="38"/>
    <w:unhideWhenUsed/>
    <w:qFormat/>
    <w:uiPriority w:val="0"/>
    <w:pPr>
      <w:ind w:left="100" w:leftChars="2500"/>
    </w:pPr>
  </w:style>
  <w:style w:type="paragraph" w:styleId="13">
    <w:name w:val="Body Text Indent 2"/>
    <w:basedOn w:val="1"/>
    <w:link w:val="97"/>
    <w:qFormat/>
    <w:uiPriority w:val="0"/>
    <w:pPr>
      <w:spacing w:after="120" w:line="480" w:lineRule="auto"/>
      <w:ind w:left="420" w:leftChars="200"/>
    </w:pPr>
  </w:style>
  <w:style w:type="paragraph" w:styleId="14">
    <w:name w:val="Balloon Text"/>
    <w:basedOn w:val="1"/>
    <w:link w:val="39"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autoRedefine/>
    <w:unhideWhenUsed/>
    <w:qFormat/>
    <w:uiPriority w:val="39"/>
  </w:style>
  <w:style w:type="paragraph" w:styleId="18">
    <w:name w:val="Body Text Indent 3"/>
    <w:basedOn w:val="1"/>
    <w:link w:val="94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0">
    <w:name w:val="Body Text 2"/>
    <w:basedOn w:val="1"/>
    <w:link w:val="96"/>
    <w:qFormat/>
    <w:uiPriority w:val="0"/>
    <w:pPr>
      <w:spacing w:line="600" w:lineRule="exact"/>
      <w:jc w:val="center"/>
    </w:pPr>
    <w:rPr>
      <w:rFonts w:ascii="方正小标宋简体" w:hAnsi="华文中宋" w:eastAsia="方正小标宋简体"/>
      <w:sz w:val="44"/>
      <w:szCs w:val="44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2">
    <w:name w:val="Title"/>
    <w:basedOn w:val="1"/>
    <w:next w:val="1"/>
    <w:link w:val="82"/>
    <w:qFormat/>
    <w:uiPriority w:val="0"/>
    <w:pPr>
      <w:spacing w:line="720" w:lineRule="exact"/>
      <w:jc w:val="center"/>
      <w:outlineLvl w:val="0"/>
    </w:pPr>
    <w:rPr>
      <w:rFonts w:ascii="方正小标宋简体" w:hAnsi="方正小标宋简体" w:eastAsia="方正小标宋简体"/>
      <w:bCs/>
      <w:kern w:val="0"/>
      <w:sz w:val="44"/>
      <w:szCs w:val="32"/>
    </w:rPr>
  </w:style>
  <w:style w:type="paragraph" w:styleId="23">
    <w:name w:val="annotation subject"/>
    <w:basedOn w:val="7"/>
    <w:next w:val="7"/>
    <w:link w:val="56"/>
    <w:qFormat/>
    <w:uiPriority w:val="0"/>
    <w:rPr>
      <w:b/>
      <w:bCs/>
    </w:rPr>
  </w:style>
  <w:style w:type="table" w:styleId="25">
    <w:name w:val="Table Grid"/>
    <w:basedOn w:val="2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6">
    <w:name w:val="Colorful Grid Accent 1"/>
    <w:basedOn w:val="24"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28">
    <w:name w:val="Strong"/>
    <w:basedOn w:val="27"/>
    <w:qFormat/>
    <w:uiPriority w:val="22"/>
    <w:rPr>
      <w:b/>
    </w:rPr>
  </w:style>
  <w:style w:type="character" w:styleId="29">
    <w:name w:val="page number"/>
    <w:basedOn w:val="27"/>
    <w:qFormat/>
    <w:uiPriority w:val="0"/>
  </w:style>
  <w:style w:type="character" w:styleId="30">
    <w:name w:val="FollowedHyperlink"/>
    <w:qFormat/>
    <w:uiPriority w:val="99"/>
    <w:rPr>
      <w:color w:val="800080"/>
      <w:u w:val="single"/>
    </w:rPr>
  </w:style>
  <w:style w:type="character" w:styleId="31">
    <w:name w:val="Emphasis"/>
    <w:qFormat/>
    <w:uiPriority w:val="20"/>
    <w:rPr>
      <w:i/>
      <w:iCs/>
    </w:rPr>
  </w:style>
  <w:style w:type="character" w:styleId="32">
    <w:name w:val="Hyperlink"/>
    <w:basedOn w:val="2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annotation reference"/>
    <w:qFormat/>
    <w:uiPriority w:val="0"/>
    <w:rPr>
      <w:sz w:val="21"/>
      <w:szCs w:val="21"/>
    </w:rPr>
  </w:style>
  <w:style w:type="character" w:customStyle="1" w:styleId="34">
    <w:name w:val="正文文本缩进 Char"/>
    <w:basedOn w:val="27"/>
    <w:link w:val="10"/>
    <w:qFormat/>
    <w:uiPriority w:val="99"/>
    <w:rPr>
      <w:rFonts w:ascii="Times New Roman" w:hAnsi="Times New Roman" w:eastAsia="宋体" w:cs="Times New Roman"/>
      <w:sz w:val="28"/>
      <w:szCs w:val="24"/>
    </w:rPr>
  </w:style>
  <w:style w:type="character" w:customStyle="1" w:styleId="35">
    <w:name w:val="页眉 Char"/>
    <w:basedOn w:val="27"/>
    <w:link w:val="1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6">
    <w:name w:val="页脚 Char"/>
    <w:basedOn w:val="27"/>
    <w:link w:val="1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7">
    <w:name w:val="纯文本 Char"/>
    <w:basedOn w:val="27"/>
    <w:link w:val="11"/>
    <w:qFormat/>
    <w:uiPriority w:val="0"/>
    <w:rPr>
      <w:rFonts w:ascii="宋体" w:hAnsi="Courier New" w:eastAsia="仿宋_GB2312" w:cs="Times New Roman"/>
      <w:szCs w:val="20"/>
    </w:rPr>
  </w:style>
  <w:style w:type="character" w:customStyle="1" w:styleId="38">
    <w:name w:val="日期 Char"/>
    <w:basedOn w:val="27"/>
    <w:link w:val="1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9">
    <w:name w:val="批注框文本 Char"/>
    <w:basedOn w:val="27"/>
    <w:link w:val="1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40">
    <w:name w:val="List Paragraph"/>
    <w:basedOn w:val="1"/>
    <w:qFormat/>
    <w:uiPriority w:val="99"/>
    <w:pPr>
      <w:ind w:firstLine="420" w:firstLineChars="200"/>
    </w:pPr>
  </w:style>
  <w:style w:type="character" w:customStyle="1" w:styleId="41">
    <w:name w:val="纯文本 Char1"/>
    <w:basedOn w:val="27"/>
    <w:qFormat/>
    <w:uiPriority w:val="0"/>
    <w:rPr>
      <w:rFonts w:ascii="宋体" w:hAnsi="Courier New" w:eastAsia="仿宋_GB2312"/>
      <w:kern w:val="2"/>
      <w:sz w:val="21"/>
    </w:rPr>
  </w:style>
  <w:style w:type="character" w:customStyle="1" w:styleId="42">
    <w:name w:val="标题 1 Char"/>
    <w:basedOn w:val="27"/>
    <w:link w:val="2"/>
    <w:qFormat/>
    <w:uiPriority w:val="99"/>
    <w:rPr>
      <w:rFonts w:ascii="Times New Roman" w:hAnsi="Times New Roman" w:eastAsia="方正小标宋简体"/>
      <w:kern w:val="44"/>
      <w:sz w:val="36"/>
      <w:szCs w:val="44"/>
    </w:rPr>
  </w:style>
  <w:style w:type="character" w:customStyle="1" w:styleId="43">
    <w:name w:val="页眉 Char1"/>
    <w:qFormat/>
    <w:uiPriority w:val="99"/>
    <w:rPr>
      <w:rFonts w:eastAsia="仿宋_GB2312"/>
      <w:sz w:val="18"/>
      <w:szCs w:val="18"/>
    </w:rPr>
  </w:style>
  <w:style w:type="character" w:customStyle="1" w:styleId="44">
    <w:name w:val="批注文字 Char"/>
    <w:basedOn w:val="27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45">
    <w:name w:val="批注文字 Char1"/>
    <w:link w:val="7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46">
    <w:name w:val="标题 2 Char"/>
    <w:basedOn w:val="2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47">
    <w:name w:val="标题 3 Char"/>
    <w:basedOn w:val="27"/>
    <w:semiHidden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48">
    <w:name w:val="标题 4 Char"/>
    <w:basedOn w:val="2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49">
    <w:name w:val="文档结构图 Char"/>
    <w:basedOn w:val="27"/>
    <w:semiHidden/>
    <w:qFormat/>
    <w:uiPriority w:val="99"/>
    <w:rPr>
      <w:rFonts w:ascii="宋体" w:hAnsi="Times New Roman"/>
      <w:kern w:val="2"/>
      <w:sz w:val="18"/>
      <w:szCs w:val="18"/>
    </w:rPr>
  </w:style>
  <w:style w:type="character" w:customStyle="1" w:styleId="50">
    <w:name w:val="正文文本 3 Char"/>
    <w:basedOn w:val="27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51">
    <w:name w:val="正文文本 Char"/>
    <w:basedOn w:val="27"/>
    <w:link w:val="9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52">
    <w:name w:val="正文文本缩进 2 Char"/>
    <w:basedOn w:val="27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53">
    <w:name w:val="正文文本缩进 3 Char"/>
    <w:basedOn w:val="27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54">
    <w:name w:val="正文文本 2 Char"/>
    <w:basedOn w:val="27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55">
    <w:name w:val="标题 Char"/>
    <w:basedOn w:val="27"/>
    <w:qFormat/>
    <w:uiPriority w:val="1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56">
    <w:name w:val="批注主题 Char"/>
    <w:basedOn w:val="45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57">
    <w:name w:val="Char"/>
    <w:basedOn w:val="1"/>
    <w:qFormat/>
    <w:uiPriority w:val="0"/>
  </w:style>
  <w:style w:type="character" w:customStyle="1" w:styleId="58">
    <w:name w:val="style71"/>
    <w:qFormat/>
    <w:uiPriority w:val="0"/>
    <w:rPr>
      <w:b/>
      <w:bCs/>
      <w:color w:val="FF0000"/>
      <w:sz w:val="32"/>
      <w:szCs w:val="32"/>
    </w:rPr>
  </w:style>
  <w:style w:type="paragraph" w:customStyle="1" w:styleId="59">
    <w:name w:val="Char1"/>
    <w:basedOn w:val="1"/>
    <w:qFormat/>
    <w:uiPriority w:val="0"/>
  </w:style>
  <w:style w:type="paragraph" w:customStyle="1" w:styleId="60">
    <w:name w:val="一级条标题"/>
    <w:next w:val="1"/>
    <w:qFormat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61">
    <w:name w:val="style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62">
    <w:name w:val="样式 章标题 + Times New Roman 三号 居中 段前: 0.5 行 行距: 多倍行距 3 字行"/>
    <w:basedOn w:val="63"/>
    <w:qFormat/>
    <w:uiPriority w:val="0"/>
    <w:pPr>
      <w:numPr>
        <w:ilvl w:val="5"/>
        <w:numId w:val="1"/>
      </w:numPr>
      <w:spacing w:beforeLines="100" w:afterLines="50"/>
      <w:jc w:val="center"/>
    </w:pPr>
    <w:rPr>
      <w:rFonts w:ascii="Times New Roman"/>
      <w:kern w:val="2"/>
      <w:sz w:val="32"/>
      <w:szCs w:val="32"/>
    </w:rPr>
  </w:style>
  <w:style w:type="paragraph" w:customStyle="1" w:styleId="63">
    <w:name w:val="章标题"/>
    <w:next w:val="64"/>
    <w:qFormat/>
    <w:uiPriority w:val="0"/>
    <w:pPr>
      <w:spacing w:beforeLines="50"/>
      <w:jc w:val="both"/>
      <w:outlineLvl w:val="1"/>
    </w:pPr>
    <w:rPr>
      <w:rFonts w:hint="eastAsia" w:ascii="黑体" w:hAnsi="Times New Roman" w:eastAsia="黑体" w:cs="Times New Roman"/>
      <w:sz w:val="21"/>
      <w:lang w:val="en-US" w:eastAsia="zh-CN" w:bidi="ar-SA"/>
    </w:rPr>
  </w:style>
  <w:style w:type="paragraph" w:customStyle="1" w:styleId="6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hint="eastAsia" w:ascii="宋体" w:hAnsi="Times New Roman" w:eastAsia="宋体" w:cs="Times New Roman"/>
      <w:sz w:val="21"/>
      <w:lang w:val="en-US" w:eastAsia="zh-CN" w:bidi="ar-SA"/>
    </w:rPr>
  </w:style>
  <w:style w:type="paragraph" w:customStyle="1" w:styleId="65">
    <w:name w:val="五级条标题"/>
    <w:basedOn w:val="66"/>
    <w:next w:val="64"/>
    <w:qFormat/>
    <w:uiPriority w:val="0"/>
    <w:pPr>
      <w:tabs>
        <w:tab w:val="left" w:pos="1125"/>
        <w:tab w:val="left" w:pos="3600"/>
        <w:tab w:val="left" w:pos="4320"/>
        <w:tab w:val="left" w:pos="5040"/>
      </w:tabs>
      <w:ind w:left="5040"/>
      <w:outlineLvl w:val="6"/>
    </w:pPr>
  </w:style>
  <w:style w:type="paragraph" w:customStyle="1" w:styleId="66">
    <w:name w:val="四级条标题"/>
    <w:basedOn w:val="67"/>
    <w:next w:val="64"/>
    <w:qFormat/>
    <w:uiPriority w:val="0"/>
    <w:pPr>
      <w:tabs>
        <w:tab w:val="left" w:pos="1125"/>
        <w:tab w:val="left" w:pos="3600"/>
        <w:tab w:val="left" w:pos="4320"/>
      </w:tabs>
      <w:ind w:left="4320"/>
      <w:outlineLvl w:val="5"/>
    </w:pPr>
  </w:style>
  <w:style w:type="paragraph" w:customStyle="1" w:styleId="67">
    <w:name w:val="三级条标题"/>
    <w:basedOn w:val="1"/>
    <w:next w:val="64"/>
    <w:qFormat/>
    <w:uiPriority w:val="0"/>
    <w:pPr>
      <w:widowControl/>
      <w:tabs>
        <w:tab w:val="left" w:pos="1125"/>
        <w:tab w:val="left" w:pos="3600"/>
      </w:tabs>
      <w:ind w:left="3600" w:hanging="360"/>
      <w:outlineLvl w:val="4"/>
    </w:pPr>
    <w:rPr>
      <w:rFonts w:hint="eastAsia" w:ascii="黑体" w:eastAsia="黑体"/>
      <w:kern w:val="0"/>
      <w:szCs w:val="20"/>
    </w:rPr>
  </w:style>
  <w:style w:type="paragraph" w:customStyle="1" w:styleId="68">
    <w:name w:val="Char Char Char Char Char Char"/>
    <w:basedOn w:val="1"/>
    <w:qFormat/>
    <w:uiPriority w:val="0"/>
  </w:style>
  <w:style w:type="paragraph" w:customStyle="1" w:styleId="69">
    <w:name w:val="style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0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71">
    <w:name w:val="二级条标题"/>
    <w:basedOn w:val="60"/>
    <w:next w:val="1"/>
    <w:qFormat/>
    <w:uiPriority w:val="0"/>
    <w:pPr>
      <w:tabs>
        <w:tab w:val="left" w:pos="360"/>
        <w:tab w:val="left" w:pos="2520"/>
      </w:tabs>
      <w:ind w:left="2520" w:hanging="2520"/>
      <w:outlineLvl w:val="3"/>
    </w:pPr>
  </w:style>
  <w:style w:type="paragraph" w:customStyle="1" w:styleId="72">
    <w:name w:val="Char Char Char1 Char Char Char Char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73">
    <w:name w:val="Char Char Char Char Char Char Char Char Char Char Char Char Char Char Char Char"/>
    <w:basedOn w:val="1"/>
    <w:qFormat/>
    <w:uiPriority w:val="0"/>
  </w:style>
  <w:style w:type="paragraph" w:customStyle="1" w:styleId="74">
    <w:name w:val="style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75">
    <w:name w:val="样式 XW正文 + 首行缩进:  0.85 厘米"/>
    <w:basedOn w:val="1"/>
    <w:qFormat/>
    <w:uiPriority w:val="0"/>
    <w:pPr>
      <w:adjustRightInd w:val="0"/>
      <w:spacing w:line="360" w:lineRule="auto"/>
      <w:ind w:firstLine="200" w:firstLineChars="200"/>
      <w:jc w:val="left"/>
      <w:textAlignment w:val="baseline"/>
    </w:pPr>
    <w:rPr>
      <w:rFonts w:cs="宋体"/>
      <w:kern w:val="0"/>
      <w:sz w:val="28"/>
      <w:szCs w:val="28"/>
    </w:rPr>
  </w:style>
  <w:style w:type="character" w:customStyle="1" w:styleId="76">
    <w:name w:val="纯文本 字符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77">
    <w:name w:val="正文文本缩进 Char1"/>
    <w:qFormat/>
    <w:uiPriority w:val="0"/>
    <w:rPr>
      <w:rFonts w:eastAsia="仿宋_GB2312"/>
      <w:color w:val="000000"/>
      <w:kern w:val="2"/>
      <w:sz w:val="32"/>
      <w:szCs w:val="24"/>
    </w:rPr>
  </w:style>
  <w:style w:type="character" w:customStyle="1" w:styleId="78">
    <w:name w:val="标题 4 Char1"/>
    <w:link w:val="5"/>
    <w:qFormat/>
    <w:uiPriority w:val="9"/>
    <w:rPr>
      <w:rFonts w:ascii="黑体" w:hAnsi="黑体" w:eastAsia="黑体"/>
      <w:bCs/>
      <w:sz w:val="30"/>
      <w:szCs w:val="28"/>
    </w:rPr>
  </w:style>
  <w:style w:type="character" w:customStyle="1" w:styleId="79">
    <w:name w:val="页眉 字符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80">
    <w:name w:val="T1 字符"/>
    <w:link w:val="81"/>
    <w:qFormat/>
    <w:uiPriority w:val="0"/>
    <w:rPr>
      <w:b/>
      <w:bCs/>
      <w:kern w:val="2"/>
      <w:sz w:val="32"/>
      <w:szCs w:val="32"/>
    </w:rPr>
  </w:style>
  <w:style w:type="paragraph" w:customStyle="1" w:styleId="81">
    <w:name w:val="T1"/>
    <w:basedOn w:val="22"/>
    <w:link w:val="80"/>
    <w:qFormat/>
    <w:uiPriority w:val="0"/>
    <w:pPr>
      <w:spacing w:line="600" w:lineRule="exact"/>
      <w:ind w:firstLine="200" w:firstLineChars="200"/>
      <w:jc w:val="both"/>
    </w:pPr>
    <w:rPr>
      <w:rFonts w:ascii="Calibri" w:hAnsi="Calibri" w:eastAsia="宋体"/>
      <w:b/>
      <w:kern w:val="2"/>
      <w:sz w:val="32"/>
    </w:rPr>
  </w:style>
  <w:style w:type="character" w:customStyle="1" w:styleId="82">
    <w:name w:val="标题 Char1"/>
    <w:link w:val="22"/>
    <w:qFormat/>
    <w:uiPriority w:val="0"/>
    <w:rPr>
      <w:rFonts w:ascii="方正小标宋简体" w:hAnsi="方正小标宋简体" w:eastAsia="方正小标宋简体"/>
      <w:bCs/>
      <w:sz w:val="44"/>
      <w:szCs w:val="32"/>
    </w:rPr>
  </w:style>
  <w:style w:type="character" w:customStyle="1" w:styleId="83">
    <w:name w:val="页脚 字符"/>
    <w:qFormat/>
    <w:uiPriority w:val="99"/>
    <w:rPr>
      <w:sz w:val="18"/>
      <w:szCs w:val="18"/>
    </w:rPr>
  </w:style>
  <w:style w:type="character" w:customStyle="1" w:styleId="84">
    <w:name w:val="标题 2 Char1"/>
    <w:link w:val="3"/>
    <w:qFormat/>
    <w:uiPriority w:val="9"/>
    <w:rPr>
      <w:rFonts w:ascii="楷体_GB2312" w:hAnsi="楷体_GB2312" w:eastAsia="楷体_GB2312"/>
      <w:bCs/>
      <w:kern w:val="2"/>
      <w:sz w:val="32"/>
      <w:szCs w:val="32"/>
    </w:rPr>
  </w:style>
  <w:style w:type="character" w:customStyle="1" w:styleId="85">
    <w:name w:val="彩色网格 - 着色 1 字符"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</w:style>
  <w:style w:type="character" w:customStyle="1" w:styleId="86">
    <w:name w:val="标题 3 Char1"/>
    <w:link w:val="4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87">
    <w:name w:val="批注框文本 字符"/>
    <w:qFormat/>
    <w:uiPriority w:val="0"/>
    <w:rPr>
      <w:rFonts w:ascii="等线" w:hAnsi="等线" w:eastAsia="等线"/>
      <w:kern w:val="2"/>
      <w:sz w:val="18"/>
      <w:szCs w:val="18"/>
    </w:rPr>
  </w:style>
  <w:style w:type="character" w:customStyle="1" w:styleId="88">
    <w:name w:val="xxgk_jyta"/>
    <w:qFormat/>
    <w:uiPriority w:val="0"/>
    <w:rPr>
      <w:color w:val="2065B3"/>
      <w:sz w:val="21"/>
      <w:szCs w:val="21"/>
    </w:rPr>
  </w:style>
  <w:style w:type="character" w:customStyle="1" w:styleId="89">
    <w:name w:val="mzwh_page"/>
    <w:basedOn w:val="27"/>
    <w:qFormat/>
    <w:uiPriority w:val="0"/>
  </w:style>
  <w:style w:type="paragraph" w:customStyle="1" w:styleId="90">
    <w:name w:val="1"/>
    <w:basedOn w:val="1"/>
    <w:next w:val="1"/>
    <w:unhideWhenUsed/>
    <w:qFormat/>
    <w:uiPriority w:val="39"/>
    <w:pPr>
      <w:adjustRightInd w:val="0"/>
      <w:snapToGrid w:val="0"/>
      <w:spacing w:line="480" w:lineRule="exact"/>
      <w:ind w:firstLine="200" w:firstLineChars="200"/>
    </w:pPr>
    <w:rPr>
      <w:rFonts w:ascii="仿宋_GB2312" w:hAnsi="仿宋_GB2312" w:eastAsia="仿宋_GB2312" w:cs="仿宋_GB2312"/>
      <w:sz w:val="32"/>
      <w:szCs w:val="32"/>
    </w:rPr>
  </w:style>
  <w:style w:type="paragraph" w:customStyle="1" w:styleId="91">
    <w:name w:val="网格表 31"/>
    <w:basedOn w:val="2"/>
    <w:next w:val="1"/>
    <w:qFormat/>
    <w:uiPriority w:val="39"/>
    <w:pPr>
      <w:widowControl/>
      <w:spacing w:beforeLines="0" w:afterLines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character" w:customStyle="1" w:styleId="92">
    <w:name w:val="文档结构图 Char1"/>
    <w:link w:val="6"/>
    <w:qFormat/>
    <w:uiPriority w:val="0"/>
    <w:rPr>
      <w:rFonts w:ascii="Times New Roman" w:hAnsi="Times New Roman"/>
      <w:kern w:val="2"/>
      <w:sz w:val="21"/>
      <w:szCs w:val="24"/>
      <w:shd w:val="clear" w:color="auto" w:fill="000080"/>
    </w:rPr>
  </w:style>
  <w:style w:type="character" w:customStyle="1" w:styleId="93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正文文本缩进 3 Char1"/>
    <w:link w:val="18"/>
    <w:qFormat/>
    <w:uiPriority w:val="0"/>
    <w:rPr>
      <w:rFonts w:ascii="Times New Roman" w:hAnsi="Times New Roman"/>
      <w:kern w:val="2"/>
      <w:sz w:val="16"/>
      <w:szCs w:val="16"/>
    </w:rPr>
  </w:style>
  <w:style w:type="character" w:customStyle="1" w:styleId="95">
    <w:name w:val="日期 字符"/>
    <w:qFormat/>
    <w:uiPriority w:val="99"/>
    <w:rPr>
      <w:rFonts w:ascii="仿宋_GB2312" w:eastAsia="仿宋_GB2312"/>
      <w:kern w:val="2"/>
      <w:sz w:val="32"/>
      <w:szCs w:val="24"/>
    </w:rPr>
  </w:style>
  <w:style w:type="character" w:customStyle="1" w:styleId="96">
    <w:name w:val="正文文本 2 Char1"/>
    <w:link w:val="20"/>
    <w:qFormat/>
    <w:uiPriority w:val="0"/>
    <w:rPr>
      <w:rFonts w:ascii="方正小标宋简体" w:hAnsi="华文中宋" w:eastAsia="方正小标宋简体"/>
      <w:kern w:val="2"/>
      <w:sz w:val="44"/>
      <w:szCs w:val="44"/>
    </w:rPr>
  </w:style>
  <w:style w:type="character" w:customStyle="1" w:styleId="97">
    <w:name w:val="正文文本缩进 2 Char1"/>
    <w:link w:val="13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98">
    <w:name w:val="正文文本 3 Char1"/>
    <w:link w:val="8"/>
    <w:qFormat/>
    <w:uiPriority w:val="0"/>
    <w:rPr>
      <w:rFonts w:ascii="Times New Roman" w:hAnsi="Times New Roman" w:eastAsia="仿宋_GB2312"/>
      <w:color w:val="000000"/>
      <w:kern w:val="2"/>
      <w:sz w:val="28"/>
      <w:szCs w:val="24"/>
    </w:rPr>
  </w:style>
  <w:style w:type="character" w:customStyle="1" w:styleId="99">
    <w:name w:val="正文文本 字符"/>
    <w:qFormat/>
    <w:uiPriority w:val="0"/>
    <w:rPr>
      <w:rFonts w:eastAsia="黑体"/>
      <w:spacing w:val="-20"/>
      <w:kern w:val="2"/>
      <w:sz w:val="32"/>
      <w:szCs w:val="24"/>
    </w:rPr>
  </w:style>
  <w:style w:type="character" w:customStyle="1" w:styleId="100">
    <w:name w:val="标题 1 字符1"/>
    <w:qFormat/>
    <w:uiPriority w:val="9"/>
    <w:rPr>
      <w:rFonts w:ascii="Times New Roman" w:hAnsi="Times New Roman" w:eastAsia="方正小标宋简体" w:cs="Times New Roman"/>
      <w:kern w:val="44"/>
      <w:sz w:val="36"/>
      <w:szCs w:val="44"/>
    </w:rPr>
  </w:style>
  <w:style w:type="character" w:customStyle="1" w:styleId="101">
    <w:name w:val="标题 2 字符1"/>
    <w:qFormat/>
    <w:uiPriority w:val="9"/>
    <w:rPr>
      <w:rFonts w:ascii="楷体_GB2312" w:hAnsi="楷体_GB2312" w:eastAsia="楷体_GB2312" w:cs="Times New Roman"/>
      <w:bCs/>
      <w:sz w:val="32"/>
      <w:szCs w:val="32"/>
    </w:rPr>
  </w:style>
  <w:style w:type="character" w:customStyle="1" w:styleId="102">
    <w:name w:val="页眉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3">
    <w:name w:val="页脚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4">
    <w:name w:val="TOC 标题1"/>
    <w:basedOn w:val="2"/>
    <w:next w:val="1"/>
    <w:unhideWhenUsed/>
    <w:qFormat/>
    <w:uiPriority w:val="39"/>
    <w:pPr>
      <w:widowControl/>
      <w:spacing w:beforeLines="0" w:afterLines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character" w:customStyle="1" w:styleId="105">
    <w:name w:val="批注框文本 字符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6">
    <w:name w:val="fontstyle0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07">
    <w:name w:val="日期 字符1"/>
    <w:qFormat/>
    <w:uiPriority w:val="0"/>
    <w:rPr>
      <w:rFonts w:ascii="方正小标宋简体" w:hAnsi="Times New Roman" w:eastAsia="方正小标宋简体" w:cs="Times New Roman"/>
      <w:sz w:val="32"/>
      <w:szCs w:val="24"/>
    </w:rPr>
  </w:style>
  <w:style w:type="character" w:customStyle="1" w:styleId="108">
    <w:name w:val="正文文本 字符1"/>
    <w:qFormat/>
    <w:uiPriority w:val="0"/>
    <w:rPr>
      <w:rFonts w:eastAsia="宋体"/>
      <w:szCs w:val="24"/>
    </w:rPr>
  </w:style>
  <w:style w:type="character" w:customStyle="1" w:styleId="109">
    <w:name w:val="正文文本 Char1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10">
    <w:name w:val="Char Char Char Char Char Char1"/>
    <w:basedOn w:val="1"/>
    <w:qFormat/>
    <w:uiPriority w:val="0"/>
  </w:style>
  <w:style w:type="character" w:customStyle="1" w:styleId="111">
    <w:name w:val="纯文本 字符1"/>
    <w:qFormat/>
    <w:uiPriority w:val="0"/>
    <w:rPr>
      <w:rFonts w:ascii="宋体" w:hAnsi="Courier New" w:eastAsia="仿宋_GB2312" w:cs="Times New Roman"/>
      <w:szCs w:val="20"/>
    </w:rPr>
  </w:style>
  <w:style w:type="paragraph" w:customStyle="1" w:styleId="112">
    <w:name w:val="Char Char Char1 Char Char Char Char1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113">
    <w:name w:val="Char Char Char Char Char Char Char Char Char Char Char Char Char Char Char Char1"/>
    <w:basedOn w:val="1"/>
    <w:qFormat/>
    <w:uiPriority w:val="0"/>
  </w:style>
  <w:style w:type="character" w:customStyle="1" w:styleId="114">
    <w:name w:val="未处理的提及1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15">
    <w:name w:val="网格型2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97757-F2F8-4B3E-8778-D688184EB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282</Words>
  <Characters>296</Characters>
  <Lines>312</Lines>
  <Paragraphs>87</Paragraphs>
  <TotalTime>60</TotalTime>
  <ScaleCrop>false</ScaleCrop>
  <LinksUpToDate>false</LinksUpToDate>
  <CharactersWithSpaces>312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2025-07-27T03:47:00Z</dcterms:created>
  <dc:creator>zhangdalu</dc:creator>
  <cp:lastModifiedBy>Jessie</cp:lastModifiedBy>
  <cp:lastPrinted>2025-09-06T01:27:00Z</cp:lastPrinted>
  <dcterms:modified xsi:type="dcterms:W3CDTF">2026-04-30T05:36:14Z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eyJoZGlkIjoiZjg1NGNmZWY2YTliOWEyM2NlMTA2YzY1NjRmMjUxNzUiLCJ1c2VySWQiOiI4MjA5MzUwNDgifQ==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7D02258D2F42423A8AB3188B34AAEA4A_12</vt:lpwstr>
  </property>
</Properties>
</file>